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kinsoku/>
        <w:autoSpaceDE/>
        <w:autoSpaceDN/>
        <w:adjustRightInd/>
        <w:snapToGrid/>
        <w:jc w:val="both"/>
        <w:textAlignment w:val="auto"/>
        <w:rPr>
          <w:rFonts w:ascii="Times New Roman" w:hAnsi="Times New Roman" w:eastAsia="黑体" w:cs="Times New Roman"/>
          <w:snapToGrid/>
          <w:kern w:val="2"/>
          <w:sz w:val="32"/>
          <w:szCs w:val="32"/>
        </w:rPr>
      </w:pPr>
      <w:r>
        <w:rPr>
          <w:rFonts w:ascii="Times New Roman" w:hAnsi="Times New Roman" w:eastAsia="黑体" w:cs="Times New Roman"/>
          <w:snapToGrid/>
          <w:kern w:val="2"/>
          <w:sz w:val="32"/>
          <w:szCs w:val="32"/>
        </w:rPr>
        <w:t>附件2</w:t>
      </w:r>
    </w:p>
    <w:p>
      <w:pPr>
        <w:widowControl w:val="0"/>
        <w:kinsoku/>
        <w:autoSpaceDE/>
        <w:autoSpaceDN/>
        <w:adjustRightInd/>
        <w:snapToGrid/>
        <w:jc w:val="both"/>
        <w:textAlignment w:val="auto"/>
        <w:rPr>
          <w:rFonts w:ascii="Times New Roman" w:hAnsi="Times New Roman" w:eastAsia="仿宋_GB2312" w:cs="Times New Roman"/>
          <w:snapToGrid/>
          <w:kern w:val="2"/>
          <w:sz w:val="32"/>
          <w:szCs w:val="32"/>
        </w:rPr>
      </w:pPr>
      <w:r>
        <w:rPr>
          <w:rFonts w:ascii="Times New Roman" w:hAnsi="Times New Roman" w:eastAsia="仿宋_GB2312" w:cs="Times New Roman"/>
          <w:snapToGrid/>
          <w:kern w:val="2"/>
          <w:sz w:val="32"/>
          <w:szCs w:val="32"/>
        </w:rPr>
        <w:t xml:space="preserve">                                              </w:t>
      </w:r>
    </w:p>
    <w:p>
      <w:pPr>
        <w:widowControl w:val="0"/>
        <w:kinsoku/>
        <w:autoSpaceDE/>
        <w:autoSpaceDN/>
        <w:adjustRightInd/>
        <w:snapToGrid/>
        <w:spacing w:line="360" w:lineRule="auto"/>
        <w:jc w:val="center"/>
        <w:textAlignment w:val="auto"/>
        <w:rPr>
          <w:rFonts w:ascii="Times New Roman" w:hAnsi="Times New Roman" w:eastAsia="方正小标宋简体" w:cs="Times New Roman"/>
          <w:bCs/>
          <w:snapToGrid/>
          <w:kern w:val="2"/>
          <w:sz w:val="52"/>
          <w:szCs w:val="52"/>
        </w:rPr>
      </w:pPr>
    </w:p>
    <w:p>
      <w:pPr>
        <w:widowControl w:val="0"/>
        <w:kinsoku/>
        <w:autoSpaceDE/>
        <w:autoSpaceDN/>
        <w:adjustRightInd/>
        <w:snapToGrid/>
        <w:spacing w:line="360" w:lineRule="auto"/>
        <w:jc w:val="center"/>
        <w:textAlignment w:val="auto"/>
        <w:rPr>
          <w:rFonts w:ascii="Times New Roman" w:hAnsi="Times New Roman" w:eastAsia="方正小标宋简体" w:cs="Times New Roman"/>
          <w:bCs/>
          <w:snapToGrid/>
          <w:kern w:val="2"/>
          <w:sz w:val="52"/>
          <w:szCs w:val="52"/>
        </w:rPr>
      </w:pPr>
    </w:p>
    <w:p>
      <w:pPr>
        <w:widowControl w:val="0"/>
        <w:kinsoku/>
        <w:autoSpaceDE/>
        <w:autoSpaceDN/>
        <w:adjustRightInd/>
        <w:snapToGrid/>
        <w:spacing w:line="360" w:lineRule="auto"/>
        <w:jc w:val="center"/>
        <w:textAlignment w:val="auto"/>
        <w:rPr>
          <w:rFonts w:ascii="Times New Roman" w:hAnsi="Times New Roman" w:eastAsia="方正小标宋简体" w:cs="Times New Roman"/>
          <w:bCs/>
          <w:snapToGrid/>
          <w:kern w:val="2"/>
          <w:sz w:val="52"/>
          <w:szCs w:val="52"/>
        </w:rPr>
      </w:pPr>
      <w:r>
        <w:rPr>
          <w:rFonts w:ascii="Times New Roman" w:hAnsi="Times New Roman" w:eastAsia="方正小标宋简体" w:cs="Times New Roman"/>
          <w:bCs/>
          <w:snapToGrid/>
          <w:kern w:val="2"/>
          <w:sz w:val="52"/>
          <w:szCs w:val="52"/>
        </w:rPr>
        <w:t>湖南省绿色工厂第三方评价报告</w:t>
      </w:r>
    </w:p>
    <w:p>
      <w:pPr>
        <w:widowControl w:val="0"/>
        <w:kinsoku/>
        <w:autoSpaceDE/>
        <w:autoSpaceDN/>
        <w:adjustRightInd/>
        <w:snapToGrid/>
        <w:jc w:val="both"/>
        <w:textAlignment w:val="auto"/>
        <w:rPr>
          <w:rFonts w:ascii="Times New Roman" w:hAnsi="Times New Roman" w:eastAsia="仿宋_GB2312" w:cs="Times New Roman"/>
          <w:snapToGrid/>
          <w:kern w:val="2"/>
          <w:sz w:val="28"/>
          <w:szCs w:val="22"/>
        </w:rPr>
      </w:pPr>
    </w:p>
    <w:p>
      <w:pPr>
        <w:widowControl w:val="0"/>
        <w:kinsoku/>
        <w:autoSpaceDE/>
        <w:autoSpaceDN/>
        <w:adjustRightInd/>
        <w:snapToGrid/>
        <w:jc w:val="both"/>
        <w:textAlignment w:val="auto"/>
        <w:rPr>
          <w:rFonts w:ascii="Times New Roman" w:hAnsi="Times New Roman" w:eastAsia="仿宋_GB2312" w:cs="Times New Roman"/>
          <w:snapToGrid/>
          <w:kern w:val="2"/>
          <w:sz w:val="28"/>
          <w:szCs w:val="22"/>
        </w:rPr>
      </w:pPr>
    </w:p>
    <w:p>
      <w:pPr>
        <w:widowControl w:val="0"/>
        <w:kinsoku/>
        <w:autoSpaceDE/>
        <w:autoSpaceDN/>
        <w:adjustRightInd/>
        <w:snapToGrid/>
        <w:jc w:val="both"/>
        <w:textAlignment w:val="auto"/>
        <w:rPr>
          <w:rFonts w:ascii="Times New Roman" w:hAnsi="Times New Roman" w:eastAsia="方正仿宋简体" w:cs="Times New Roman"/>
          <w:snapToGrid/>
          <w:kern w:val="2"/>
          <w:sz w:val="32"/>
          <w:szCs w:val="22"/>
        </w:rPr>
      </w:pPr>
    </w:p>
    <w:p>
      <w:pPr>
        <w:widowControl w:val="0"/>
        <w:kinsoku/>
        <w:autoSpaceDE/>
        <w:autoSpaceDN/>
        <w:adjustRightInd/>
        <w:snapToGrid/>
        <w:jc w:val="both"/>
        <w:textAlignment w:val="auto"/>
        <w:rPr>
          <w:rFonts w:ascii="Times New Roman" w:hAnsi="Times New Roman" w:eastAsia="方正仿宋简体" w:cs="Times New Roman"/>
          <w:snapToGrid/>
          <w:kern w:val="2"/>
          <w:sz w:val="32"/>
          <w:szCs w:val="22"/>
        </w:rPr>
      </w:pPr>
    </w:p>
    <w:p>
      <w:pPr>
        <w:widowControl w:val="0"/>
        <w:kinsoku/>
        <w:autoSpaceDE/>
        <w:autoSpaceDN/>
        <w:adjustRightInd/>
        <w:snapToGrid/>
        <w:jc w:val="both"/>
        <w:textAlignment w:val="auto"/>
        <w:rPr>
          <w:rFonts w:ascii="Times New Roman" w:hAnsi="Times New Roman" w:eastAsia="方正仿宋简体" w:cs="Times New Roman"/>
          <w:snapToGrid/>
          <w:kern w:val="2"/>
          <w:sz w:val="32"/>
          <w:szCs w:val="22"/>
        </w:rPr>
      </w:pPr>
    </w:p>
    <w:p>
      <w:pPr>
        <w:widowControl w:val="0"/>
        <w:kinsoku/>
        <w:autoSpaceDE/>
        <w:autoSpaceDN/>
        <w:adjustRightInd/>
        <w:snapToGrid/>
        <w:spacing w:line="360" w:lineRule="auto"/>
        <w:ind w:firstLine="960" w:firstLineChars="300"/>
        <w:jc w:val="both"/>
        <w:textAlignment w:val="auto"/>
        <w:rPr>
          <w:rFonts w:ascii="Times New Roman" w:hAnsi="Times New Roman" w:eastAsia="仿宋_GB2312" w:cs="Times New Roman"/>
          <w:snapToGrid/>
          <w:kern w:val="2"/>
          <w:sz w:val="32"/>
          <w:szCs w:val="32"/>
        </w:rPr>
      </w:pPr>
      <w:r>
        <w:rPr>
          <w:rFonts w:ascii="Times New Roman" w:hAnsi="Times New Roman" w:eastAsia="仿宋_GB2312" w:cs="Times New Roman"/>
          <w:snapToGrid/>
          <w:kern w:val="2"/>
          <w:sz w:val="32"/>
          <w:szCs w:val="32"/>
        </w:rPr>
        <w:t>工    厂   名   称：</w:t>
      </w:r>
      <w:r>
        <w:rPr>
          <w:rFonts w:ascii="Times New Roman" w:hAnsi="Times New Roman" w:eastAsia="仿宋_GB2312" w:cs="Times New Roman"/>
          <w:snapToGrid/>
          <w:kern w:val="2"/>
          <w:sz w:val="32"/>
          <w:szCs w:val="32"/>
          <w:u w:val="single"/>
        </w:rPr>
        <w:tab/>
      </w:r>
      <w:r>
        <w:rPr>
          <w:rFonts w:ascii="Times New Roman" w:hAnsi="Times New Roman" w:eastAsia="仿宋_GB2312" w:cs="Times New Roman"/>
          <w:snapToGrid/>
          <w:kern w:val="2"/>
          <w:sz w:val="32"/>
          <w:szCs w:val="32"/>
          <w:u w:val="single"/>
        </w:rPr>
        <w:tab/>
      </w:r>
      <w:r>
        <w:rPr>
          <w:rFonts w:ascii="Times New Roman" w:hAnsi="Times New Roman" w:eastAsia="仿宋_GB2312" w:cs="Times New Roman"/>
          <w:snapToGrid/>
          <w:kern w:val="2"/>
          <w:sz w:val="32"/>
          <w:szCs w:val="32"/>
          <w:u w:val="single"/>
        </w:rPr>
        <w:tab/>
      </w:r>
      <w:r>
        <w:rPr>
          <w:rFonts w:ascii="Times New Roman" w:hAnsi="Times New Roman" w:eastAsia="仿宋_GB2312" w:cs="Times New Roman"/>
          <w:snapToGrid/>
          <w:kern w:val="2"/>
          <w:sz w:val="32"/>
          <w:szCs w:val="32"/>
          <w:u w:val="single"/>
        </w:rPr>
        <w:tab/>
      </w:r>
      <w:r>
        <w:rPr>
          <w:rFonts w:ascii="Times New Roman" w:hAnsi="Times New Roman" w:eastAsia="仿宋_GB2312" w:cs="Times New Roman"/>
          <w:snapToGrid/>
          <w:kern w:val="2"/>
          <w:sz w:val="32"/>
          <w:szCs w:val="32"/>
          <w:u w:val="single"/>
        </w:rPr>
        <w:tab/>
      </w:r>
      <w:r>
        <w:rPr>
          <w:rFonts w:ascii="Times New Roman" w:hAnsi="Times New Roman" w:eastAsia="仿宋_GB2312" w:cs="Times New Roman"/>
          <w:snapToGrid/>
          <w:kern w:val="2"/>
          <w:sz w:val="32"/>
          <w:szCs w:val="32"/>
          <w:u w:val="single"/>
        </w:rPr>
        <w:tab/>
      </w:r>
      <w:r>
        <w:rPr>
          <w:rFonts w:ascii="Times New Roman" w:hAnsi="Times New Roman" w:eastAsia="仿宋_GB2312" w:cs="Times New Roman"/>
          <w:snapToGrid/>
          <w:kern w:val="2"/>
          <w:sz w:val="32"/>
          <w:szCs w:val="32"/>
          <w:u w:val="single"/>
        </w:rPr>
        <w:tab/>
      </w:r>
      <w:r>
        <w:rPr>
          <w:rFonts w:ascii="Times New Roman" w:hAnsi="Times New Roman" w:eastAsia="仿宋_GB2312" w:cs="Times New Roman"/>
          <w:snapToGrid/>
          <w:kern w:val="2"/>
          <w:sz w:val="32"/>
          <w:szCs w:val="32"/>
          <w:u w:val="single"/>
        </w:rPr>
        <w:tab/>
      </w:r>
      <w:r>
        <w:rPr>
          <w:rFonts w:ascii="Times New Roman" w:hAnsi="Times New Roman" w:eastAsia="仿宋_GB2312" w:cs="Times New Roman"/>
          <w:snapToGrid/>
          <w:kern w:val="2"/>
          <w:sz w:val="32"/>
          <w:szCs w:val="32"/>
          <w:u w:val="single"/>
        </w:rPr>
        <w:tab/>
      </w:r>
      <w:r>
        <w:rPr>
          <w:rFonts w:ascii="Times New Roman" w:hAnsi="Times New Roman" w:eastAsia="仿宋_GB2312" w:cs="Times New Roman"/>
          <w:snapToGrid/>
          <w:kern w:val="2"/>
          <w:sz w:val="32"/>
          <w:szCs w:val="32"/>
          <w:u w:val="single"/>
        </w:rPr>
        <w:t xml:space="preserve">  </w:t>
      </w:r>
    </w:p>
    <w:p>
      <w:pPr>
        <w:widowControl w:val="0"/>
        <w:kinsoku/>
        <w:autoSpaceDE/>
        <w:autoSpaceDN/>
        <w:adjustRightInd/>
        <w:snapToGrid/>
        <w:spacing w:line="360" w:lineRule="auto"/>
        <w:ind w:firstLine="1927" w:firstLineChars="600"/>
        <w:jc w:val="both"/>
        <w:textAlignment w:val="auto"/>
        <w:rPr>
          <w:rFonts w:ascii="Times New Roman" w:hAnsi="Times New Roman" w:eastAsia="仿宋_GB2312" w:cs="Times New Roman"/>
          <w:b/>
          <w:snapToGrid/>
          <w:kern w:val="2"/>
          <w:sz w:val="32"/>
          <w:szCs w:val="32"/>
        </w:rPr>
      </w:pPr>
    </w:p>
    <w:p>
      <w:pPr>
        <w:widowControl w:val="0"/>
        <w:kinsoku/>
        <w:autoSpaceDE/>
        <w:autoSpaceDN/>
        <w:adjustRightInd/>
        <w:snapToGrid/>
        <w:spacing w:line="360" w:lineRule="auto"/>
        <w:ind w:firstLine="960" w:firstLineChars="300"/>
        <w:jc w:val="both"/>
        <w:textAlignment w:val="auto"/>
        <w:rPr>
          <w:rFonts w:ascii="Times New Roman" w:hAnsi="Times New Roman" w:eastAsia="仿宋_GB2312" w:cs="Times New Roman"/>
          <w:snapToGrid/>
          <w:kern w:val="2"/>
          <w:sz w:val="32"/>
          <w:szCs w:val="32"/>
        </w:rPr>
      </w:pPr>
      <w:r>
        <w:rPr>
          <w:rFonts w:ascii="Times New Roman" w:hAnsi="Times New Roman" w:eastAsia="仿宋_GB2312" w:cs="Times New Roman"/>
          <w:snapToGrid/>
          <w:kern w:val="2"/>
          <w:sz w:val="32"/>
          <w:szCs w:val="32"/>
        </w:rPr>
        <w:t>第三方评价机构名称：</w:t>
      </w:r>
      <w:r>
        <w:rPr>
          <w:rFonts w:ascii="Times New Roman" w:hAnsi="Times New Roman" w:eastAsia="仿宋_GB2312" w:cs="Times New Roman"/>
          <w:snapToGrid/>
          <w:kern w:val="2"/>
          <w:sz w:val="32"/>
          <w:szCs w:val="32"/>
          <w:u w:val="single"/>
        </w:rPr>
        <w:t xml:space="preserve">                        </w:t>
      </w:r>
    </w:p>
    <w:p>
      <w:pPr>
        <w:widowControl w:val="0"/>
        <w:kinsoku/>
        <w:autoSpaceDE/>
        <w:autoSpaceDN/>
        <w:adjustRightInd/>
        <w:snapToGrid/>
        <w:jc w:val="both"/>
        <w:textAlignment w:val="auto"/>
        <w:rPr>
          <w:rFonts w:ascii="Times New Roman" w:hAnsi="Times New Roman" w:eastAsia="方正仿宋简体" w:cs="Times New Roman"/>
          <w:snapToGrid/>
          <w:kern w:val="2"/>
          <w:sz w:val="32"/>
          <w:szCs w:val="22"/>
        </w:rPr>
      </w:pPr>
    </w:p>
    <w:p>
      <w:pPr>
        <w:widowControl w:val="0"/>
        <w:kinsoku/>
        <w:autoSpaceDE/>
        <w:autoSpaceDN/>
        <w:adjustRightInd/>
        <w:snapToGrid/>
        <w:jc w:val="both"/>
        <w:textAlignment w:val="auto"/>
        <w:rPr>
          <w:rFonts w:ascii="Times New Roman" w:hAnsi="Times New Roman" w:eastAsia="方正仿宋简体" w:cs="Times New Roman"/>
          <w:snapToGrid/>
          <w:kern w:val="2"/>
          <w:sz w:val="32"/>
          <w:szCs w:val="22"/>
        </w:rPr>
      </w:pPr>
    </w:p>
    <w:p>
      <w:pPr>
        <w:widowControl w:val="0"/>
        <w:kinsoku/>
        <w:autoSpaceDE/>
        <w:autoSpaceDN/>
        <w:adjustRightInd/>
        <w:snapToGrid/>
        <w:jc w:val="both"/>
        <w:textAlignment w:val="auto"/>
        <w:rPr>
          <w:rFonts w:ascii="Times New Roman" w:hAnsi="Times New Roman" w:eastAsia="方正仿宋简体" w:cs="Times New Roman"/>
          <w:snapToGrid/>
          <w:kern w:val="2"/>
          <w:sz w:val="32"/>
          <w:szCs w:val="22"/>
        </w:rPr>
      </w:pPr>
    </w:p>
    <w:p>
      <w:pPr>
        <w:widowControl w:val="0"/>
        <w:kinsoku/>
        <w:autoSpaceDE/>
        <w:autoSpaceDN/>
        <w:adjustRightInd/>
        <w:snapToGrid/>
        <w:jc w:val="both"/>
        <w:textAlignment w:val="auto"/>
        <w:rPr>
          <w:rFonts w:ascii="Times New Roman" w:hAnsi="Times New Roman" w:eastAsia="方正仿宋简体" w:cs="Times New Roman"/>
          <w:snapToGrid/>
          <w:kern w:val="2"/>
          <w:sz w:val="32"/>
          <w:szCs w:val="22"/>
        </w:rPr>
      </w:pPr>
      <w:r>
        <w:rPr>
          <w:rFonts w:ascii="Times New Roman" w:hAnsi="Times New Roman" w:eastAsia="方正仿宋简体" w:cs="Times New Roman"/>
          <w:snapToGrid/>
          <w:kern w:val="2"/>
          <w:sz w:val="32"/>
          <w:szCs w:val="22"/>
        </w:rPr>
        <w:t xml:space="preserve">   </w:t>
      </w:r>
    </w:p>
    <w:p>
      <w:pPr>
        <w:widowControl w:val="0"/>
        <w:kinsoku/>
        <w:autoSpaceDE/>
        <w:autoSpaceDN/>
        <w:adjustRightInd/>
        <w:snapToGrid/>
        <w:ind w:firstLine="420" w:firstLineChars="150"/>
        <w:jc w:val="both"/>
        <w:textAlignment w:val="auto"/>
        <w:rPr>
          <w:rFonts w:ascii="Times New Roman" w:hAnsi="Times New Roman" w:eastAsia="方正仿宋简体" w:cs="Times New Roman"/>
          <w:snapToGrid/>
          <w:kern w:val="2"/>
          <w:sz w:val="28"/>
          <w:szCs w:val="22"/>
        </w:rPr>
      </w:pPr>
    </w:p>
    <w:p>
      <w:pPr>
        <w:widowControl w:val="0"/>
        <w:kinsoku/>
        <w:autoSpaceDE/>
        <w:autoSpaceDN/>
        <w:adjustRightInd/>
        <w:snapToGrid/>
        <w:spacing w:line="360" w:lineRule="auto"/>
        <w:jc w:val="center"/>
        <w:textAlignment w:val="auto"/>
        <w:rPr>
          <w:rFonts w:ascii="Times New Roman" w:hAnsi="Times New Roman" w:eastAsia="仿宋_GB2312" w:cs="Times New Roman"/>
          <w:snapToGrid/>
          <w:kern w:val="2"/>
          <w:sz w:val="30"/>
          <w:szCs w:val="22"/>
        </w:rPr>
      </w:pPr>
      <w:r>
        <w:rPr>
          <w:rFonts w:hint="eastAsia" w:ascii="Times New Roman" w:hAnsi="Times New Roman" w:eastAsia="仿宋_GB2312" w:cs="Times New Roman"/>
          <w:snapToGrid/>
          <w:kern w:val="2"/>
          <w:sz w:val="30"/>
          <w:szCs w:val="22"/>
        </w:rPr>
        <w:t>湖南省</w:t>
      </w:r>
      <w:r>
        <w:rPr>
          <w:rFonts w:ascii="Times New Roman" w:hAnsi="Times New Roman" w:eastAsia="仿宋_GB2312" w:cs="Times New Roman"/>
          <w:snapToGrid/>
          <w:kern w:val="2"/>
          <w:sz w:val="30"/>
          <w:szCs w:val="22"/>
        </w:rPr>
        <w:t>工业和信息化</w:t>
      </w:r>
      <w:r>
        <w:rPr>
          <w:rFonts w:hint="eastAsia" w:ascii="Times New Roman" w:hAnsi="Times New Roman" w:eastAsia="仿宋_GB2312" w:cs="Times New Roman"/>
          <w:snapToGrid/>
          <w:kern w:val="2"/>
          <w:sz w:val="30"/>
          <w:szCs w:val="22"/>
        </w:rPr>
        <w:t>厅</w:t>
      </w:r>
      <w:r>
        <w:rPr>
          <w:rFonts w:ascii="Times New Roman" w:hAnsi="Times New Roman" w:eastAsia="仿宋_GB2312" w:cs="Times New Roman"/>
          <w:snapToGrid/>
          <w:kern w:val="2"/>
          <w:sz w:val="30"/>
          <w:szCs w:val="22"/>
        </w:rPr>
        <w:t>制</w:t>
      </w:r>
    </w:p>
    <w:p>
      <w:pPr>
        <w:widowControl w:val="0"/>
        <w:kinsoku/>
        <w:autoSpaceDE/>
        <w:autoSpaceDN/>
        <w:adjustRightInd/>
        <w:snapToGrid/>
        <w:jc w:val="center"/>
        <w:textAlignment w:val="auto"/>
        <w:rPr>
          <w:rFonts w:ascii="Times New Roman" w:hAnsi="Times New Roman" w:eastAsia="仿宋_GB2312" w:cs="Times New Roman"/>
          <w:snapToGrid/>
          <w:kern w:val="2"/>
          <w:sz w:val="32"/>
          <w:szCs w:val="32"/>
        </w:rPr>
      </w:pPr>
      <w:r>
        <w:rPr>
          <w:rFonts w:ascii="Times New Roman" w:hAnsi="Times New Roman" w:eastAsia="仿宋_GB2312" w:cs="Times New Roman"/>
          <w:snapToGrid/>
          <w:kern w:val="2"/>
          <w:sz w:val="30"/>
          <w:szCs w:val="22"/>
        </w:rPr>
        <w:t>20  年    月    日</w:t>
      </w:r>
    </w:p>
    <w:p>
      <w:pPr>
        <w:widowControl w:val="0"/>
        <w:kinsoku/>
        <w:autoSpaceDE/>
        <w:autoSpaceDN/>
        <w:adjustRightInd/>
        <w:snapToGrid/>
        <w:spacing w:line="360" w:lineRule="auto"/>
        <w:jc w:val="center"/>
        <w:textAlignment w:val="auto"/>
        <w:rPr>
          <w:rFonts w:ascii="Times New Roman" w:hAnsi="Times New Roman" w:eastAsia="方正小标宋简体" w:cs="Times New Roman"/>
          <w:bCs/>
          <w:snapToGrid/>
          <w:kern w:val="2"/>
          <w:sz w:val="40"/>
          <w:szCs w:val="40"/>
        </w:rPr>
      </w:pPr>
      <w:r>
        <w:rPr>
          <w:rFonts w:ascii="Times New Roman" w:hAnsi="Times New Roman" w:eastAsia="黑体" w:cs="Times New Roman"/>
          <w:bCs/>
          <w:snapToGrid/>
          <w:kern w:val="2"/>
          <w:sz w:val="36"/>
          <w:szCs w:val="36"/>
        </w:rPr>
        <w:br w:type="page"/>
      </w:r>
      <w:r>
        <w:rPr>
          <w:rFonts w:ascii="Times New Roman" w:hAnsi="Times New Roman" w:eastAsia="方正小标宋简体" w:cs="Times New Roman"/>
          <w:bCs/>
          <w:snapToGrid/>
          <w:kern w:val="2"/>
          <w:sz w:val="40"/>
          <w:szCs w:val="40"/>
        </w:rPr>
        <w:t>基本信息表</w:t>
      </w:r>
    </w:p>
    <w:tbl>
      <w:tblPr>
        <w:tblStyle w:val="3"/>
        <w:tblW w:w="93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4"/>
        <w:gridCol w:w="2489"/>
        <w:gridCol w:w="1867"/>
        <w:gridCol w:w="2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22" w:type="dxa"/>
            <w:gridSpan w:val="4"/>
            <w:noWrap w:val="0"/>
            <w:vAlign w:val="center"/>
          </w:tcPr>
          <w:p>
            <w:pPr>
              <w:kinsoku/>
              <w:autoSpaceDE/>
              <w:autoSpaceDN/>
              <w:adjustRightInd/>
              <w:snapToGrid/>
              <w:textAlignment w:val="auto"/>
              <w:rPr>
                <w:rFonts w:ascii="Times New Roman" w:hAnsi="Times New Roman" w:eastAsia="仿宋_GB2312" w:cs="Times New Roman"/>
                <w:b/>
                <w:snapToGrid/>
                <w:sz w:val="24"/>
                <w:szCs w:val="22"/>
              </w:rPr>
            </w:pPr>
            <w:r>
              <w:rPr>
                <w:rFonts w:ascii="Times New Roman" w:hAnsi="Times New Roman" w:eastAsia="仿宋_GB2312" w:cs="Times New Roman"/>
                <w:b/>
                <w:snapToGrid/>
                <w:sz w:val="24"/>
                <w:szCs w:val="22"/>
              </w:rPr>
              <w:t>一、工厂基本信息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35" w:type="dxa"/>
            <w:noWrap w:val="0"/>
            <w:vAlign w:val="center"/>
          </w:tcPr>
          <w:p>
            <w:pPr>
              <w:kinsoku/>
              <w:autoSpaceDE/>
              <w:autoSpaceDN/>
              <w:adjustRightInd/>
              <w:snapToGrid/>
              <w:jc w:val="center"/>
              <w:textAlignment w:val="auto"/>
              <w:rPr>
                <w:rFonts w:ascii="Times New Roman" w:hAnsi="Times New Roman" w:eastAsia="仿宋_GB2312" w:cs="Times New Roman"/>
                <w:snapToGrid/>
                <w:sz w:val="24"/>
                <w:szCs w:val="22"/>
              </w:rPr>
            </w:pPr>
            <w:r>
              <w:rPr>
                <w:rFonts w:ascii="Times New Roman" w:hAnsi="Times New Roman" w:eastAsia="仿宋_GB2312" w:cs="Times New Roman"/>
                <w:snapToGrid/>
                <w:sz w:val="24"/>
                <w:szCs w:val="22"/>
              </w:rPr>
              <w:t>工厂名称</w:t>
            </w:r>
          </w:p>
        </w:tc>
        <w:tc>
          <w:tcPr>
            <w:tcW w:w="6287" w:type="dxa"/>
            <w:gridSpan w:val="3"/>
            <w:noWrap w:val="0"/>
            <w:vAlign w:val="center"/>
          </w:tcPr>
          <w:p>
            <w:pPr>
              <w:kinsoku/>
              <w:autoSpaceDE/>
              <w:autoSpaceDN/>
              <w:adjustRightInd/>
              <w:snapToGrid/>
              <w:jc w:val="center"/>
              <w:textAlignment w:val="auto"/>
              <w:rPr>
                <w:rFonts w:ascii="Times New Roman" w:hAnsi="Times New Roman" w:eastAsia="仿宋_GB2312" w:cs="Times New Roman"/>
                <w:snapToGrid/>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35" w:type="dxa"/>
            <w:noWrap w:val="0"/>
            <w:vAlign w:val="center"/>
          </w:tcPr>
          <w:p>
            <w:pPr>
              <w:kinsoku/>
              <w:autoSpaceDE/>
              <w:autoSpaceDN/>
              <w:adjustRightInd/>
              <w:snapToGrid/>
              <w:jc w:val="center"/>
              <w:textAlignment w:val="auto"/>
              <w:rPr>
                <w:rFonts w:ascii="Times New Roman" w:hAnsi="Times New Roman" w:eastAsia="仿宋_GB2312" w:cs="Times New Roman"/>
                <w:snapToGrid/>
                <w:sz w:val="24"/>
                <w:szCs w:val="22"/>
              </w:rPr>
            </w:pPr>
            <w:r>
              <w:rPr>
                <w:rFonts w:ascii="Times New Roman" w:hAnsi="Times New Roman" w:eastAsia="仿宋_GB2312" w:cs="Times New Roman"/>
                <w:snapToGrid/>
                <w:sz w:val="24"/>
                <w:szCs w:val="22"/>
              </w:rPr>
              <w:t>工厂地址</w:t>
            </w:r>
          </w:p>
        </w:tc>
        <w:tc>
          <w:tcPr>
            <w:tcW w:w="6287" w:type="dxa"/>
            <w:gridSpan w:val="3"/>
            <w:noWrap w:val="0"/>
            <w:vAlign w:val="center"/>
          </w:tcPr>
          <w:p>
            <w:pPr>
              <w:kinsoku/>
              <w:autoSpaceDE/>
              <w:autoSpaceDN/>
              <w:adjustRightInd/>
              <w:snapToGrid/>
              <w:jc w:val="center"/>
              <w:textAlignment w:val="auto"/>
              <w:rPr>
                <w:rFonts w:ascii="Times New Roman" w:hAnsi="Times New Roman" w:eastAsia="仿宋_GB2312" w:cs="Times New Roman"/>
                <w:snapToGrid/>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35" w:type="dxa"/>
            <w:noWrap w:val="0"/>
            <w:vAlign w:val="center"/>
          </w:tcPr>
          <w:p>
            <w:pPr>
              <w:kinsoku/>
              <w:autoSpaceDE/>
              <w:autoSpaceDN/>
              <w:adjustRightInd/>
              <w:snapToGrid/>
              <w:jc w:val="center"/>
              <w:textAlignment w:val="auto"/>
              <w:rPr>
                <w:rFonts w:ascii="Times New Roman" w:hAnsi="Times New Roman" w:eastAsia="仿宋_GB2312" w:cs="Times New Roman"/>
                <w:snapToGrid/>
                <w:sz w:val="24"/>
                <w:szCs w:val="22"/>
              </w:rPr>
            </w:pPr>
            <w:r>
              <w:rPr>
                <w:rFonts w:ascii="Times New Roman" w:hAnsi="Times New Roman" w:eastAsia="仿宋_GB2312" w:cs="Times New Roman"/>
                <w:snapToGrid/>
                <w:sz w:val="24"/>
                <w:szCs w:val="22"/>
              </w:rPr>
              <w:t>所属行业</w:t>
            </w:r>
          </w:p>
        </w:tc>
        <w:tc>
          <w:tcPr>
            <w:tcW w:w="2268" w:type="dxa"/>
            <w:noWrap w:val="0"/>
            <w:vAlign w:val="center"/>
          </w:tcPr>
          <w:p>
            <w:pPr>
              <w:kinsoku/>
              <w:autoSpaceDE/>
              <w:autoSpaceDN/>
              <w:adjustRightInd/>
              <w:snapToGrid/>
              <w:jc w:val="center"/>
              <w:textAlignment w:val="auto"/>
              <w:rPr>
                <w:rFonts w:ascii="Times New Roman" w:hAnsi="Times New Roman" w:eastAsia="仿宋_GB2312" w:cs="Times New Roman"/>
                <w:snapToGrid/>
                <w:sz w:val="24"/>
                <w:szCs w:val="22"/>
              </w:rPr>
            </w:pPr>
          </w:p>
        </w:tc>
        <w:tc>
          <w:tcPr>
            <w:tcW w:w="1701" w:type="dxa"/>
            <w:noWrap w:val="0"/>
            <w:vAlign w:val="center"/>
          </w:tcPr>
          <w:p>
            <w:pPr>
              <w:kinsoku/>
              <w:autoSpaceDE/>
              <w:autoSpaceDN/>
              <w:adjustRightInd/>
              <w:snapToGrid/>
              <w:jc w:val="center"/>
              <w:textAlignment w:val="auto"/>
              <w:rPr>
                <w:rFonts w:ascii="Times New Roman" w:hAnsi="Times New Roman" w:eastAsia="仿宋_GB2312" w:cs="Times New Roman"/>
                <w:snapToGrid/>
                <w:sz w:val="24"/>
                <w:szCs w:val="22"/>
              </w:rPr>
            </w:pPr>
            <w:r>
              <w:rPr>
                <w:rFonts w:ascii="Times New Roman" w:hAnsi="Times New Roman" w:eastAsia="仿宋_GB2312" w:cs="Times New Roman"/>
                <w:snapToGrid/>
                <w:sz w:val="24"/>
                <w:szCs w:val="22"/>
              </w:rPr>
              <w:t>主要产品</w:t>
            </w:r>
          </w:p>
        </w:tc>
        <w:tc>
          <w:tcPr>
            <w:tcW w:w="2318" w:type="dxa"/>
            <w:noWrap w:val="0"/>
            <w:vAlign w:val="center"/>
          </w:tcPr>
          <w:p>
            <w:pPr>
              <w:kinsoku/>
              <w:autoSpaceDE/>
              <w:autoSpaceDN/>
              <w:adjustRightInd/>
              <w:snapToGrid/>
              <w:jc w:val="center"/>
              <w:textAlignment w:val="auto"/>
              <w:rPr>
                <w:rFonts w:ascii="Times New Roman" w:hAnsi="Times New Roman" w:eastAsia="仿宋_GB2312" w:cs="Times New Roman"/>
                <w:snapToGrid/>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35" w:type="dxa"/>
            <w:noWrap w:val="0"/>
            <w:vAlign w:val="center"/>
          </w:tcPr>
          <w:p>
            <w:pPr>
              <w:kinsoku/>
              <w:autoSpaceDE/>
              <w:autoSpaceDN/>
              <w:adjustRightInd/>
              <w:snapToGrid/>
              <w:jc w:val="center"/>
              <w:textAlignment w:val="auto"/>
              <w:rPr>
                <w:rFonts w:ascii="Times New Roman" w:hAnsi="Times New Roman" w:eastAsia="仿宋_GB2312" w:cs="Times New Roman"/>
                <w:snapToGrid/>
                <w:sz w:val="24"/>
                <w:szCs w:val="22"/>
              </w:rPr>
            </w:pPr>
            <w:r>
              <w:rPr>
                <w:rFonts w:ascii="Times New Roman" w:hAnsi="Times New Roman" w:eastAsia="仿宋_GB2312" w:cs="Times New Roman"/>
                <w:snapToGrid/>
                <w:sz w:val="24"/>
                <w:szCs w:val="22"/>
              </w:rPr>
              <w:t>单位性质</w:t>
            </w:r>
          </w:p>
        </w:tc>
        <w:tc>
          <w:tcPr>
            <w:tcW w:w="6287" w:type="dxa"/>
            <w:gridSpan w:val="3"/>
            <w:noWrap w:val="0"/>
            <w:vAlign w:val="center"/>
          </w:tcPr>
          <w:p>
            <w:pPr>
              <w:kinsoku/>
              <w:autoSpaceDE/>
              <w:autoSpaceDN/>
              <w:adjustRightInd/>
              <w:snapToGrid/>
              <w:jc w:val="center"/>
              <w:textAlignment w:val="auto"/>
              <w:rPr>
                <w:rFonts w:ascii="Times New Roman" w:hAnsi="Times New Roman" w:eastAsia="仿宋_GB2312" w:cs="Times New Roman"/>
                <w:snapToGrid/>
                <w:sz w:val="24"/>
                <w:szCs w:val="22"/>
              </w:rPr>
            </w:pPr>
            <w:r>
              <w:rPr>
                <w:rFonts w:ascii="Times New Roman" w:hAnsi="Times New Roman" w:eastAsia="仿宋_GB2312" w:cs="Times New Roman"/>
                <w:snapToGrid/>
                <w:sz w:val="24"/>
                <w:szCs w:val="22"/>
              </w:rPr>
              <w:t>内资（□国有□集体□民营）□中外合资□港澳台□外商独资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35" w:type="dxa"/>
            <w:noWrap w:val="0"/>
            <w:vAlign w:val="center"/>
          </w:tcPr>
          <w:p>
            <w:pPr>
              <w:kinsoku/>
              <w:autoSpaceDE/>
              <w:autoSpaceDN/>
              <w:adjustRightInd/>
              <w:snapToGrid/>
              <w:jc w:val="center"/>
              <w:textAlignment w:val="auto"/>
              <w:rPr>
                <w:rFonts w:ascii="Times New Roman" w:hAnsi="Times New Roman" w:eastAsia="仿宋_GB2312" w:cs="Times New Roman"/>
                <w:snapToGrid/>
                <w:sz w:val="24"/>
                <w:szCs w:val="22"/>
              </w:rPr>
            </w:pPr>
            <w:r>
              <w:rPr>
                <w:rFonts w:ascii="Times New Roman" w:hAnsi="Times New Roman" w:eastAsia="仿宋_GB2312" w:cs="Times New Roman"/>
                <w:snapToGrid/>
                <w:sz w:val="24"/>
                <w:szCs w:val="22"/>
              </w:rPr>
              <w:t>工厂法定代表人</w:t>
            </w:r>
          </w:p>
        </w:tc>
        <w:tc>
          <w:tcPr>
            <w:tcW w:w="2268" w:type="dxa"/>
            <w:noWrap w:val="0"/>
            <w:vAlign w:val="center"/>
          </w:tcPr>
          <w:p>
            <w:pPr>
              <w:kinsoku/>
              <w:autoSpaceDE/>
              <w:autoSpaceDN/>
              <w:adjustRightInd/>
              <w:snapToGrid/>
              <w:jc w:val="center"/>
              <w:textAlignment w:val="auto"/>
              <w:rPr>
                <w:rFonts w:ascii="Times New Roman" w:hAnsi="Times New Roman" w:eastAsia="仿宋_GB2312" w:cs="Times New Roman"/>
                <w:snapToGrid/>
                <w:sz w:val="24"/>
                <w:szCs w:val="22"/>
              </w:rPr>
            </w:pPr>
          </w:p>
        </w:tc>
        <w:tc>
          <w:tcPr>
            <w:tcW w:w="1701" w:type="dxa"/>
            <w:noWrap w:val="0"/>
            <w:vAlign w:val="center"/>
          </w:tcPr>
          <w:p>
            <w:pPr>
              <w:kinsoku/>
              <w:autoSpaceDE/>
              <w:autoSpaceDN/>
              <w:adjustRightInd/>
              <w:snapToGrid/>
              <w:jc w:val="center"/>
              <w:textAlignment w:val="auto"/>
              <w:rPr>
                <w:rFonts w:ascii="Times New Roman" w:hAnsi="Times New Roman" w:eastAsia="仿宋_GB2312" w:cs="Times New Roman"/>
                <w:snapToGrid/>
                <w:sz w:val="24"/>
                <w:szCs w:val="22"/>
              </w:rPr>
            </w:pPr>
            <w:r>
              <w:rPr>
                <w:rFonts w:ascii="Times New Roman" w:hAnsi="Times New Roman" w:eastAsia="仿宋_GB2312" w:cs="Times New Roman"/>
                <w:snapToGrid/>
                <w:sz w:val="24"/>
                <w:szCs w:val="22"/>
              </w:rPr>
              <w:t>法人代表电话</w:t>
            </w:r>
          </w:p>
        </w:tc>
        <w:tc>
          <w:tcPr>
            <w:tcW w:w="2318" w:type="dxa"/>
            <w:noWrap w:val="0"/>
            <w:vAlign w:val="center"/>
          </w:tcPr>
          <w:p>
            <w:pPr>
              <w:kinsoku/>
              <w:autoSpaceDE/>
              <w:autoSpaceDN/>
              <w:adjustRightInd/>
              <w:snapToGrid/>
              <w:jc w:val="center"/>
              <w:textAlignment w:val="auto"/>
              <w:rPr>
                <w:rFonts w:ascii="Times New Roman" w:hAnsi="Times New Roman" w:eastAsia="仿宋_GB2312" w:cs="Times New Roman"/>
                <w:snapToGrid/>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35" w:type="dxa"/>
            <w:noWrap w:val="0"/>
            <w:vAlign w:val="center"/>
          </w:tcPr>
          <w:p>
            <w:pPr>
              <w:kinsoku/>
              <w:autoSpaceDE/>
              <w:autoSpaceDN/>
              <w:adjustRightInd/>
              <w:snapToGrid/>
              <w:jc w:val="center"/>
              <w:textAlignment w:val="auto"/>
              <w:rPr>
                <w:rFonts w:ascii="Times New Roman" w:hAnsi="Times New Roman" w:eastAsia="仿宋_GB2312" w:cs="Times New Roman"/>
                <w:snapToGrid/>
                <w:sz w:val="24"/>
                <w:szCs w:val="22"/>
              </w:rPr>
            </w:pPr>
            <w:r>
              <w:rPr>
                <w:rFonts w:ascii="Times New Roman" w:hAnsi="Times New Roman" w:eastAsia="仿宋_GB2312" w:cs="Times New Roman"/>
                <w:snapToGrid/>
                <w:sz w:val="24"/>
                <w:szCs w:val="22"/>
              </w:rPr>
              <w:t>工厂联系人</w:t>
            </w:r>
          </w:p>
        </w:tc>
        <w:tc>
          <w:tcPr>
            <w:tcW w:w="2268" w:type="dxa"/>
            <w:noWrap w:val="0"/>
            <w:vAlign w:val="center"/>
          </w:tcPr>
          <w:p>
            <w:pPr>
              <w:kinsoku/>
              <w:autoSpaceDE/>
              <w:autoSpaceDN/>
              <w:adjustRightInd/>
              <w:snapToGrid/>
              <w:jc w:val="center"/>
              <w:textAlignment w:val="auto"/>
              <w:rPr>
                <w:rFonts w:ascii="Times New Roman" w:hAnsi="Times New Roman" w:eastAsia="仿宋_GB2312" w:cs="Times New Roman"/>
                <w:snapToGrid/>
                <w:sz w:val="24"/>
                <w:szCs w:val="22"/>
              </w:rPr>
            </w:pPr>
          </w:p>
        </w:tc>
        <w:tc>
          <w:tcPr>
            <w:tcW w:w="1701" w:type="dxa"/>
            <w:noWrap w:val="0"/>
            <w:vAlign w:val="center"/>
          </w:tcPr>
          <w:p>
            <w:pPr>
              <w:kinsoku/>
              <w:autoSpaceDE/>
              <w:autoSpaceDN/>
              <w:adjustRightInd/>
              <w:snapToGrid/>
              <w:jc w:val="center"/>
              <w:textAlignment w:val="auto"/>
              <w:rPr>
                <w:rFonts w:ascii="Times New Roman" w:hAnsi="Times New Roman" w:eastAsia="仿宋_GB2312" w:cs="Times New Roman"/>
                <w:snapToGrid/>
                <w:sz w:val="24"/>
                <w:szCs w:val="22"/>
              </w:rPr>
            </w:pPr>
            <w:r>
              <w:rPr>
                <w:rFonts w:ascii="Times New Roman" w:hAnsi="Times New Roman" w:eastAsia="仿宋_GB2312" w:cs="Times New Roman"/>
                <w:snapToGrid/>
                <w:sz w:val="24"/>
                <w:szCs w:val="22"/>
              </w:rPr>
              <w:t>联系人电话</w:t>
            </w:r>
          </w:p>
        </w:tc>
        <w:tc>
          <w:tcPr>
            <w:tcW w:w="2318" w:type="dxa"/>
            <w:noWrap w:val="0"/>
            <w:vAlign w:val="center"/>
          </w:tcPr>
          <w:p>
            <w:pPr>
              <w:kinsoku/>
              <w:autoSpaceDE/>
              <w:autoSpaceDN/>
              <w:adjustRightInd/>
              <w:snapToGrid/>
              <w:jc w:val="center"/>
              <w:textAlignment w:val="auto"/>
              <w:rPr>
                <w:rFonts w:ascii="Times New Roman" w:hAnsi="Times New Roman" w:eastAsia="仿宋_GB2312" w:cs="Times New Roman"/>
                <w:snapToGrid/>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35" w:type="dxa"/>
            <w:noWrap w:val="0"/>
            <w:vAlign w:val="center"/>
          </w:tcPr>
          <w:p>
            <w:pPr>
              <w:kinsoku/>
              <w:autoSpaceDE/>
              <w:autoSpaceDN/>
              <w:adjustRightInd/>
              <w:snapToGrid/>
              <w:jc w:val="center"/>
              <w:textAlignment w:val="auto"/>
              <w:rPr>
                <w:rFonts w:ascii="Times New Roman" w:hAnsi="Times New Roman" w:eastAsia="仿宋_GB2312" w:cs="Times New Roman"/>
                <w:snapToGrid/>
                <w:sz w:val="24"/>
                <w:szCs w:val="22"/>
              </w:rPr>
            </w:pPr>
            <w:r>
              <w:rPr>
                <w:rFonts w:ascii="Times New Roman" w:hAnsi="Times New Roman" w:eastAsia="仿宋_GB2312" w:cs="Times New Roman"/>
                <w:snapToGrid/>
                <w:sz w:val="24"/>
                <w:szCs w:val="22"/>
              </w:rPr>
              <w:t>电子邮件</w:t>
            </w:r>
          </w:p>
        </w:tc>
        <w:tc>
          <w:tcPr>
            <w:tcW w:w="2268" w:type="dxa"/>
            <w:noWrap w:val="0"/>
            <w:vAlign w:val="center"/>
          </w:tcPr>
          <w:p>
            <w:pPr>
              <w:kinsoku/>
              <w:autoSpaceDE/>
              <w:autoSpaceDN/>
              <w:adjustRightInd/>
              <w:snapToGrid/>
              <w:jc w:val="center"/>
              <w:textAlignment w:val="auto"/>
              <w:rPr>
                <w:rFonts w:ascii="Times New Roman" w:hAnsi="Times New Roman" w:eastAsia="仿宋_GB2312" w:cs="Times New Roman"/>
                <w:snapToGrid/>
                <w:sz w:val="24"/>
                <w:szCs w:val="22"/>
              </w:rPr>
            </w:pPr>
          </w:p>
        </w:tc>
        <w:tc>
          <w:tcPr>
            <w:tcW w:w="1701" w:type="dxa"/>
            <w:noWrap w:val="0"/>
            <w:vAlign w:val="center"/>
          </w:tcPr>
          <w:p>
            <w:pPr>
              <w:kinsoku/>
              <w:autoSpaceDE/>
              <w:autoSpaceDN/>
              <w:adjustRightInd/>
              <w:snapToGrid/>
              <w:jc w:val="center"/>
              <w:textAlignment w:val="auto"/>
              <w:rPr>
                <w:rFonts w:ascii="Times New Roman" w:hAnsi="Times New Roman" w:eastAsia="仿宋_GB2312" w:cs="Times New Roman"/>
                <w:snapToGrid/>
                <w:sz w:val="24"/>
                <w:szCs w:val="22"/>
              </w:rPr>
            </w:pPr>
            <w:r>
              <w:rPr>
                <w:rFonts w:ascii="Times New Roman" w:hAnsi="Times New Roman" w:eastAsia="仿宋_GB2312" w:cs="Times New Roman"/>
                <w:snapToGrid/>
                <w:sz w:val="24"/>
                <w:szCs w:val="22"/>
              </w:rPr>
              <w:t>传真</w:t>
            </w:r>
          </w:p>
        </w:tc>
        <w:tc>
          <w:tcPr>
            <w:tcW w:w="2318" w:type="dxa"/>
            <w:noWrap w:val="0"/>
            <w:vAlign w:val="center"/>
          </w:tcPr>
          <w:p>
            <w:pPr>
              <w:kinsoku/>
              <w:autoSpaceDE/>
              <w:autoSpaceDN/>
              <w:adjustRightInd/>
              <w:snapToGrid/>
              <w:jc w:val="center"/>
              <w:textAlignment w:val="auto"/>
              <w:rPr>
                <w:rFonts w:ascii="Times New Roman" w:hAnsi="Times New Roman" w:eastAsia="仿宋_GB2312" w:cs="Times New Roman"/>
                <w:snapToGrid/>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22" w:type="dxa"/>
            <w:gridSpan w:val="4"/>
            <w:noWrap w:val="0"/>
            <w:vAlign w:val="center"/>
          </w:tcPr>
          <w:p>
            <w:pPr>
              <w:kinsoku/>
              <w:autoSpaceDE/>
              <w:autoSpaceDN/>
              <w:adjustRightInd/>
              <w:snapToGrid/>
              <w:textAlignment w:val="auto"/>
              <w:rPr>
                <w:rFonts w:ascii="Times New Roman" w:hAnsi="Times New Roman" w:eastAsia="仿宋_GB2312" w:cs="Times New Roman"/>
                <w:snapToGrid/>
                <w:sz w:val="24"/>
                <w:szCs w:val="22"/>
              </w:rPr>
            </w:pPr>
            <w:r>
              <w:rPr>
                <w:rFonts w:ascii="Times New Roman" w:hAnsi="Times New Roman" w:eastAsia="仿宋_GB2312" w:cs="Times New Roman"/>
                <w:b/>
                <w:snapToGrid/>
                <w:sz w:val="24"/>
                <w:szCs w:val="22"/>
              </w:rPr>
              <w:t>二、第三方机构信息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35" w:type="dxa"/>
            <w:noWrap w:val="0"/>
            <w:vAlign w:val="center"/>
          </w:tcPr>
          <w:p>
            <w:pPr>
              <w:kinsoku/>
              <w:autoSpaceDE/>
              <w:autoSpaceDN/>
              <w:adjustRightInd/>
              <w:snapToGrid/>
              <w:jc w:val="center"/>
              <w:textAlignment w:val="auto"/>
              <w:rPr>
                <w:rFonts w:ascii="Times New Roman" w:hAnsi="Times New Roman" w:eastAsia="仿宋_GB2312" w:cs="Times New Roman"/>
                <w:snapToGrid/>
                <w:sz w:val="24"/>
                <w:szCs w:val="22"/>
              </w:rPr>
            </w:pPr>
            <w:r>
              <w:rPr>
                <w:rFonts w:ascii="Times New Roman" w:hAnsi="Times New Roman" w:eastAsia="仿宋_GB2312" w:cs="Times New Roman"/>
                <w:snapToGrid/>
                <w:sz w:val="24"/>
                <w:szCs w:val="22"/>
              </w:rPr>
              <w:t>第三方机构名称</w:t>
            </w:r>
          </w:p>
        </w:tc>
        <w:tc>
          <w:tcPr>
            <w:tcW w:w="6287" w:type="dxa"/>
            <w:gridSpan w:val="3"/>
            <w:noWrap w:val="0"/>
            <w:vAlign w:val="center"/>
          </w:tcPr>
          <w:p>
            <w:pPr>
              <w:kinsoku/>
              <w:autoSpaceDE/>
              <w:autoSpaceDN/>
              <w:adjustRightInd/>
              <w:snapToGrid/>
              <w:jc w:val="center"/>
              <w:textAlignment w:val="auto"/>
              <w:rPr>
                <w:rFonts w:ascii="Times New Roman" w:hAnsi="Times New Roman" w:eastAsia="仿宋_GB2312" w:cs="Times New Roman"/>
                <w:snapToGrid/>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35" w:type="dxa"/>
            <w:noWrap w:val="0"/>
            <w:vAlign w:val="center"/>
          </w:tcPr>
          <w:p>
            <w:pPr>
              <w:kinsoku/>
              <w:autoSpaceDE/>
              <w:autoSpaceDN/>
              <w:adjustRightInd/>
              <w:snapToGrid/>
              <w:jc w:val="center"/>
              <w:textAlignment w:val="auto"/>
              <w:rPr>
                <w:rFonts w:ascii="Times New Roman" w:hAnsi="Times New Roman" w:eastAsia="仿宋_GB2312" w:cs="Times New Roman"/>
                <w:snapToGrid/>
                <w:sz w:val="24"/>
                <w:szCs w:val="22"/>
              </w:rPr>
            </w:pPr>
            <w:r>
              <w:rPr>
                <w:rFonts w:ascii="Times New Roman" w:hAnsi="Times New Roman" w:eastAsia="仿宋_GB2312" w:cs="Times New Roman"/>
                <w:snapToGrid/>
                <w:sz w:val="24"/>
                <w:szCs w:val="22"/>
              </w:rPr>
              <w:t>第三方机构地址</w:t>
            </w:r>
          </w:p>
        </w:tc>
        <w:tc>
          <w:tcPr>
            <w:tcW w:w="6287" w:type="dxa"/>
            <w:gridSpan w:val="3"/>
            <w:noWrap w:val="0"/>
            <w:vAlign w:val="center"/>
          </w:tcPr>
          <w:p>
            <w:pPr>
              <w:kinsoku/>
              <w:autoSpaceDE/>
              <w:autoSpaceDN/>
              <w:adjustRightInd/>
              <w:snapToGrid/>
              <w:jc w:val="center"/>
              <w:textAlignment w:val="auto"/>
              <w:rPr>
                <w:rFonts w:ascii="Times New Roman" w:hAnsi="Times New Roman" w:eastAsia="仿宋_GB2312" w:cs="Times New Roman"/>
                <w:snapToGrid/>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35" w:type="dxa"/>
            <w:noWrap w:val="0"/>
            <w:vAlign w:val="center"/>
          </w:tcPr>
          <w:p>
            <w:pPr>
              <w:kinsoku/>
              <w:autoSpaceDE/>
              <w:autoSpaceDN/>
              <w:adjustRightInd/>
              <w:snapToGrid/>
              <w:jc w:val="center"/>
              <w:textAlignment w:val="auto"/>
              <w:rPr>
                <w:rFonts w:ascii="Times New Roman" w:hAnsi="Times New Roman" w:eastAsia="仿宋_GB2312" w:cs="Times New Roman"/>
                <w:snapToGrid/>
                <w:sz w:val="24"/>
                <w:szCs w:val="22"/>
              </w:rPr>
            </w:pPr>
            <w:r>
              <w:rPr>
                <w:rFonts w:ascii="Times New Roman" w:hAnsi="Times New Roman" w:eastAsia="仿宋_GB2312" w:cs="Times New Roman"/>
                <w:snapToGrid/>
                <w:sz w:val="24"/>
                <w:szCs w:val="22"/>
              </w:rPr>
              <w:t>机构法定代表人</w:t>
            </w:r>
          </w:p>
        </w:tc>
        <w:tc>
          <w:tcPr>
            <w:tcW w:w="2268" w:type="dxa"/>
            <w:noWrap w:val="0"/>
            <w:vAlign w:val="center"/>
          </w:tcPr>
          <w:p>
            <w:pPr>
              <w:kinsoku/>
              <w:autoSpaceDE/>
              <w:autoSpaceDN/>
              <w:adjustRightInd/>
              <w:snapToGrid/>
              <w:jc w:val="center"/>
              <w:textAlignment w:val="auto"/>
              <w:rPr>
                <w:rFonts w:ascii="Times New Roman" w:hAnsi="Times New Roman" w:eastAsia="仿宋_GB2312" w:cs="Times New Roman"/>
                <w:snapToGrid/>
                <w:sz w:val="24"/>
                <w:szCs w:val="22"/>
              </w:rPr>
            </w:pPr>
          </w:p>
        </w:tc>
        <w:tc>
          <w:tcPr>
            <w:tcW w:w="1701" w:type="dxa"/>
            <w:noWrap w:val="0"/>
            <w:vAlign w:val="center"/>
          </w:tcPr>
          <w:p>
            <w:pPr>
              <w:kinsoku/>
              <w:autoSpaceDE/>
              <w:autoSpaceDN/>
              <w:adjustRightInd/>
              <w:snapToGrid/>
              <w:jc w:val="center"/>
              <w:textAlignment w:val="auto"/>
              <w:rPr>
                <w:rFonts w:ascii="Times New Roman" w:hAnsi="Times New Roman" w:eastAsia="仿宋_GB2312" w:cs="Times New Roman"/>
                <w:snapToGrid/>
                <w:sz w:val="24"/>
                <w:szCs w:val="22"/>
              </w:rPr>
            </w:pPr>
            <w:r>
              <w:rPr>
                <w:rFonts w:ascii="Times New Roman" w:hAnsi="Times New Roman" w:eastAsia="仿宋_GB2312" w:cs="Times New Roman"/>
                <w:snapToGrid/>
                <w:sz w:val="24"/>
                <w:szCs w:val="22"/>
              </w:rPr>
              <w:t>法人代表电话</w:t>
            </w:r>
          </w:p>
        </w:tc>
        <w:tc>
          <w:tcPr>
            <w:tcW w:w="2318" w:type="dxa"/>
            <w:noWrap w:val="0"/>
            <w:vAlign w:val="center"/>
          </w:tcPr>
          <w:p>
            <w:pPr>
              <w:kinsoku/>
              <w:autoSpaceDE/>
              <w:autoSpaceDN/>
              <w:adjustRightInd/>
              <w:snapToGrid/>
              <w:jc w:val="center"/>
              <w:textAlignment w:val="auto"/>
              <w:rPr>
                <w:rFonts w:ascii="Times New Roman" w:hAnsi="Times New Roman" w:eastAsia="仿宋_GB2312" w:cs="Times New Roman"/>
                <w:snapToGrid/>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35" w:type="dxa"/>
            <w:noWrap w:val="0"/>
            <w:vAlign w:val="center"/>
          </w:tcPr>
          <w:p>
            <w:pPr>
              <w:kinsoku/>
              <w:autoSpaceDE/>
              <w:autoSpaceDN/>
              <w:adjustRightInd/>
              <w:snapToGrid/>
              <w:jc w:val="center"/>
              <w:textAlignment w:val="auto"/>
              <w:rPr>
                <w:rFonts w:ascii="Times New Roman" w:hAnsi="Times New Roman" w:eastAsia="仿宋_GB2312" w:cs="Times New Roman"/>
                <w:snapToGrid/>
                <w:sz w:val="24"/>
                <w:szCs w:val="22"/>
              </w:rPr>
            </w:pPr>
            <w:r>
              <w:rPr>
                <w:rFonts w:ascii="Times New Roman" w:hAnsi="Times New Roman" w:eastAsia="仿宋_GB2312" w:cs="Times New Roman"/>
                <w:snapToGrid/>
                <w:sz w:val="24"/>
                <w:szCs w:val="22"/>
              </w:rPr>
              <w:t>机构联系人</w:t>
            </w:r>
          </w:p>
        </w:tc>
        <w:tc>
          <w:tcPr>
            <w:tcW w:w="2268" w:type="dxa"/>
            <w:noWrap w:val="0"/>
            <w:vAlign w:val="center"/>
          </w:tcPr>
          <w:p>
            <w:pPr>
              <w:kinsoku/>
              <w:autoSpaceDE/>
              <w:autoSpaceDN/>
              <w:adjustRightInd/>
              <w:snapToGrid/>
              <w:jc w:val="center"/>
              <w:textAlignment w:val="auto"/>
              <w:rPr>
                <w:rFonts w:ascii="Times New Roman" w:hAnsi="Times New Roman" w:eastAsia="仿宋_GB2312" w:cs="Times New Roman"/>
                <w:snapToGrid/>
                <w:sz w:val="24"/>
                <w:szCs w:val="22"/>
              </w:rPr>
            </w:pPr>
          </w:p>
        </w:tc>
        <w:tc>
          <w:tcPr>
            <w:tcW w:w="1701" w:type="dxa"/>
            <w:noWrap w:val="0"/>
            <w:vAlign w:val="center"/>
          </w:tcPr>
          <w:p>
            <w:pPr>
              <w:kinsoku/>
              <w:autoSpaceDE/>
              <w:autoSpaceDN/>
              <w:adjustRightInd/>
              <w:snapToGrid/>
              <w:jc w:val="center"/>
              <w:textAlignment w:val="auto"/>
              <w:rPr>
                <w:rFonts w:ascii="Times New Roman" w:hAnsi="Times New Roman" w:eastAsia="仿宋_GB2312" w:cs="Times New Roman"/>
                <w:snapToGrid/>
                <w:sz w:val="24"/>
                <w:szCs w:val="22"/>
              </w:rPr>
            </w:pPr>
            <w:r>
              <w:rPr>
                <w:rFonts w:ascii="Times New Roman" w:hAnsi="Times New Roman" w:eastAsia="仿宋_GB2312" w:cs="Times New Roman"/>
                <w:snapToGrid/>
                <w:sz w:val="24"/>
                <w:szCs w:val="22"/>
              </w:rPr>
              <w:t>联系人电话</w:t>
            </w:r>
          </w:p>
        </w:tc>
        <w:tc>
          <w:tcPr>
            <w:tcW w:w="2318" w:type="dxa"/>
            <w:noWrap w:val="0"/>
            <w:vAlign w:val="center"/>
          </w:tcPr>
          <w:p>
            <w:pPr>
              <w:kinsoku/>
              <w:autoSpaceDE/>
              <w:autoSpaceDN/>
              <w:adjustRightInd/>
              <w:snapToGrid/>
              <w:jc w:val="center"/>
              <w:textAlignment w:val="auto"/>
              <w:rPr>
                <w:rFonts w:ascii="Times New Roman" w:hAnsi="Times New Roman" w:eastAsia="仿宋_GB2312" w:cs="Times New Roman"/>
                <w:snapToGrid/>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35" w:type="dxa"/>
            <w:noWrap w:val="0"/>
            <w:vAlign w:val="center"/>
          </w:tcPr>
          <w:p>
            <w:pPr>
              <w:kinsoku/>
              <w:autoSpaceDE/>
              <w:autoSpaceDN/>
              <w:adjustRightInd/>
              <w:snapToGrid/>
              <w:jc w:val="center"/>
              <w:textAlignment w:val="auto"/>
              <w:rPr>
                <w:rFonts w:ascii="Times New Roman" w:hAnsi="Times New Roman" w:eastAsia="仿宋_GB2312" w:cs="Times New Roman"/>
                <w:snapToGrid/>
                <w:sz w:val="24"/>
                <w:szCs w:val="22"/>
              </w:rPr>
            </w:pPr>
            <w:r>
              <w:rPr>
                <w:rFonts w:ascii="Times New Roman" w:hAnsi="Times New Roman" w:eastAsia="仿宋_GB2312" w:cs="Times New Roman"/>
                <w:snapToGrid/>
                <w:sz w:val="24"/>
                <w:szCs w:val="22"/>
              </w:rPr>
              <w:t>报告编制负责人</w:t>
            </w:r>
          </w:p>
        </w:tc>
        <w:tc>
          <w:tcPr>
            <w:tcW w:w="2268" w:type="dxa"/>
            <w:noWrap w:val="0"/>
            <w:vAlign w:val="center"/>
          </w:tcPr>
          <w:p>
            <w:pPr>
              <w:kinsoku/>
              <w:autoSpaceDE/>
              <w:autoSpaceDN/>
              <w:adjustRightInd/>
              <w:snapToGrid/>
              <w:jc w:val="center"/>
              <w:textAlignment w:val="auto"/>
              <w:rPr>
                <w:rFonts w:ascii="Times New Roman" w:hAnsi="Times New Roman" w:eastAsia="仿宋_GB2312" w:cs="Times New Roman"/>
                <w:snapToGrid/>
                <w:sz w:val="24"/>
                <w:szCs w:val="22"/>
              </w:rPr>
            </w:pPr>
          </w:p>
        </w:tc>
        <w:tc>
          <w:tcPr>
            <w:tcW w:w="1701" w:type="dxa"/>
            <w:noWrap w:val="0"/>
            <w:vAlign w:val="center"/>
          </w:tcPr>
          <w:p>
            <w:pPr>
              <w:kinsoku/>
              <w:autoSpaceDE/>
              <w:autoSpaceDN/>
              <w:adjustRightInd/>
              <w:snapToGrid/>
              <w:jc w:val="center"/>
              <w:textAlignment w:val="auto"/>
              <w:rPr>
                <w:rFonts w:ascii="Times New Roman" w:hAnsi="Times New Roman" w:eastAsia="仿宋_GB2312" w:cs="Times New Roman"/>
                <w:snapToGrid/>
                <w:sz w:val="24"/>
                <w:szCs w:val="22"/>
              </w:rPr>
            </w:pPr>
            <w:r>
              <w:rPr>
                <w:rFonts w:ascii="Times New Roman" w:hAnsi="Times New Roman" w:eastAsia="仿宋_GB2312" w:cs="Times New Roman"/>
                <w:snapToGrid/>
                <w:sz w:val="24"/>
                <w:szCs w:val="22"/>
              </w:rPr>
              <w:t>负责人电话</w:t>
            </w:r>
          </w:p>
        </w:tc>
        <w:tc>
          <w:tcPr>
            <w:tcW w:w="2318" w:type="dxa"/>
            <w:noWrap w:val="0"/>
            <w:vAlign w:val="center"/>
          </w:tcPr>
          <w:p>
            <w:pPr>
              <w:kinsoku/>
              <w:autoSpaceDE/>
              <w:autoSpaceDN/>
              <w:adjustRightInd/>
              <w:snapToGrid/>
              <w:jc w:val="center"/>
              <w:textAlignment w:val="auto"/>
              <w:rPr>
                <w:rFonts w:ascii="Times New Roman" w:hAnsi="Times New Roman" w:eastAsia="仿宋_GB2312" w:cs="Times New Roman"/>
                <w:snapToGrid/>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35" w:type="dxa"/>
            <w:noWrap w:val="0"/>
            <w:vAlign w:val="center"/>
          </w:tcPr>
          <w:p>
            <w:pPr>
              <w:kinsoku/>
              <w:autoSpaceDE/>
              <w:autoSpaceDN/>
              <w:adjustRightInd/>
              <w:snapToGrid/>
              <w:jc w:val="center"/>
              <w:textAlignment w:val="auto"/>
              <w:rPr>
                <w:rFonts w:ascii="Times New Roman" w:hAnsi="Times New Roman" w:eastAsia="仿宋_GB2312" w:cs="Times New Roman"/>
                <w:snapToGrid/>
                <w:sz w:val="24"/>
                <w:szCs w:val="22"/>
              </w:rPr>
            </w:pPr>
            <w:r>
              <w:rPr>
                <w:rFonts w:ascii="Times New Roman" w:hAnsi="Times New Roman" w:eastAsia="仿宋_GB2312" w:cs="Times New Roman"/>
                <w:snapToGrid/>
                <w:sz w:val="24"/>
                <w:szCs w:val="22"/>
              </w:rPr>
              <w:t>报告审核人</w:t>
            </w:r>
          </w:p>
        </w:tc>
        <w:tc>
          <w:tcPr>
            <w:tcW w:w="2268" w:type="dxa"/>
            <w:noWrap w:val="0"/>
            <w:vAlign w:val="center"/>
          </w:tcPr>
          <w:p>
            <w:pPr>
              <w:kinsoku/>
              <w:autoSpaceDE/>
              <w:autoSpaceDN/>
              <w:adjustRightInd/>
              <w:snapToGrid/>
              <w:jc w:val="center"/>
              <w:textAlignment w:val="auto"/>
              <w:rPr>
                <w:rFonts w:ascii="Times New Roman" w:hAnsi="Times New Roman" w:eastAsia="仿宋_GB2312" w:cs="Times New Roman"/>
                <w:snapToGrid/>
                <w:sz w:val="24"/>
                <w:szCs w:val="22"/>
              </w:rPr>
            </w:pPr>
          </w:p>
        </w:tc>
        <w:tc>
          <w:tcPr>
            <w:tcW w:w="1701" w:type="dxa"/>
            <w:noWrap w:val="0"/>
            <w:vAlign w:val="center"/>
          </w:tcPr>
          <w:p>
            <w:pPr>
              <w:kinsoku/>
              <w:autoSpaceDE/>
              <w:autoSpaceDN/>
              <w:adjustRightInd/>
              <w:snapToGrid/>
              <w:jc w:val="center"/>
              <w:textAlignment w:val="auto"/>
              <w:rPr>
                <w:rFonts w:ascii="Times New Roman" w:hAnsi="Times New Roman" w:eastAsia="仿宋_GB2312" w:cs="Times New Roman"/>
                <w:snapToGrid/>
                <w:sz w:val="24"/>
                <w:szCs w:val="22"/>
              </w:rPr>
            </w:pPr>
            <w:r>
              <w:rPr>
                <w:rFonts w:ascii="Times New Roman" w:hAnsi="Times New Roman" w:eastAsia="仿宋_GB2312" w:cs="Times New Roman"/>
                <w:snapToGrid/>
                <w:sz w:val="24"/>
                <w:szCs w:val="22"/>
              </w:rPr>
              <w:t>审核人电话</w:t>
            </w:r>
          </w:p>
        </w:tc>
        <w:tc>
          <w:tcPr>
            <w:tcW w:w="2318" w:type="dxa"/>
            <w:noWrap w:val="0"/>
            <w:vAlign w:val="center"/>
          </w:tcPr>
          <w:p>
            <w:pPr>
              <w:kinsoku/>
              <w:autoSpaceDE/>
              <w:autoSpaceDN/>
              <w:adjustRightInd/>
              <w:snapToGrid/>
              <w:jc w:val="center"/>
              <w:textAlignment w:val="auto"/>
              <w:rPr>
                <w:rFonts w:ascii="Times New Roman" w:hAnsi="Times New Roman" w:eastAsia="仿宋_GB2312" w:cs="Times New Roman"/>
                <w:snapToGrid/>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22" w:type="dxa"/>
            <w:gridSpan w:val="4"/>
            <w:noWrap w:val="0"/>
            <w:vAlign w:val="center"/>
          </w:tcPr>
          <w:p>
            <w:pPr>
              <w:kinsoku/>
              <w:autoSpaceDE/>
              <w:autoSpaceDN/>
              <w:adjustRightInd/>
              <w:snapToGrid/>
              <w:textAlignment w:val="auto"/>
              <w:rPr>
                <w:rFonts w:ascii="Times New Roman" w:hAnsi="Times New Roman" w:eastAsia="仿宋_GB2312" w:cs="Times New Roman"/>
                <w:snapToGrid/>
                <w:sz w:val="24"/>
                <w:szCs w:val="22"/>
              </w:rPr>
            </w:pPr>
            <w:r>
              <w:rPr>
                <w:rFonts w:ascii="Times New Roman" w:hAnsi="Times New Roman" w:eastAsia="仿宋_GB2312" w:cs="Times New Roman"/>
                <w:b/>
                <w:snapToGrid/>
                <w:sz w:val="24"/>
                <w:szCs w:val="22"/>
              </w:rPr>
              <w:t>三、绿色工厂评价结果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35" w:type="dxa"/>
            <w:noWrap w:val="0"/>
            <w:vAlign w:val="center"/>
          </w:tcPr>
          <w:p>
            <w:pPr>
              <w:kinsoku/>
              <w:autoSpaceDE/>
              <w:autoSpaceDN/>
              <w:adjustRightInd/>
              <w:snapToGrid/>
              <w:jc w:val="center"/>
              <w:textAlignment w:val="auto"/>
              <w:rPr>
                <w:rFonts w:ascii="Times New Roman" w:hAnsi="Times New Roman" w:eastAsia="仿宋_GB2312" w:cs="Times New Roman"/>
                <w:snapToGrid/>
                <w:sz w:val="24"/>
                <w:szCs w:val="22"/>
              </w:rPr>
            </w:pPr>
            <w:r>
              <w:rPr>
                <w:rFonts w:ascii="Times New Roman" w:hAnsi="Times New Roman" w:eastAsia="仿宋_GB2312" w:cs="Times New Roman"/>
                <w:snapToGrid/>
                <w:sz w:val="24"/>
                <w:szCs w:val="22"/>
              </w:rPr>
              <w:t>基本要求</w:t>
            </w:r>
          </w:p>
        </w:tc>
        <w:tc>
          <w:tcPr>
            <w:tcW w:w="2268" w:type="dxa"/>
            <w:noWrap w:val="0"/>
            <w:vAlign w:val="center"/>
          </w:tcPr>
          <w:p>
            <w:pPr>
              <w:kinsoku/>
              <w:autoSpaceDE/>
              <w:autoSpaceDN/>
              <w:adjustRightInd/>
              <w:snapToGrid/>
              <w:jc w:val="center"/>
              <w:textAlignment w:val="auto"/>
              <w:rPr>
                <w:rFonts w:ascii="Times New Roman" w:hAnsi="Times New Roman" w:eastAsia="仿宋_GB2312" w:cs="Times New Roman"/>
                <w:snapToGrid/>
                <w:sz w:val="24"/>
                <w:szCs w:val="22"/>
              </w:rPr>
            </w:pPr>
            <w:r>
              <w:rPr>
                <w:rFonts w:ascii="Times New Roman" w:hAnsi="Times New Roman" w:eastAsia="仿宋_GB2312" w:cs="Times New Roman"/>
                <w:snapToGrid/>
                <w:sz w:val="24"/>
                <w:szCs w:val="22"/>
              </w:rPr>
              <w:t>□符合  □不符合</w:t>
            </w:r>
          </w:p>
        </w:tc>
        <w:tc>
          <w:tcPr>
            <w:tcW w:w="1701" w:type="dxa"/>
            <w:noWrap w:val="0"/>
            <w:vAlign w:val="center"/>
          </w:tcPr>
          <w:p>
            <w:pPr>
              <w:kinsoku/>
              <w:autoSpaceDE/>
              <w:autoSpaceDN/>
              <w:adjustRightInd/>
              <w:snapToGrid/>
              <w:jc w:val="center"/>
              <w:textAlignment w:val="auto"/>
              <w:rPr>
                <w:rFonts w:ascii="Times New Roman" w:hAnsi="Times New Roman" w:eastAsia="仿宋_GB2312" w:cs="Times New Roman"/>
                <w:snapToGrid/>
                <w:sz w:val="24"/>
                <w:szCs w:val="22"/>
              </w:rPr>
            </w:pPr>
            <w:r>
              <w:rPr>
                <w:rFonts w:ascii="Times New Roman" w:hAnsi="Times New Roman" w:eastAsia="仿宋_GB2312" w:cs="Times New Roman"/>
                <w:snapToGrid/>
                <w:sz w:val="24"/>
                <w:szCs w:val="22"/>
              </w:rPr>
              <w:t>指标得分</w:t>
            </w:r>
          </w:p>
        </w:tc>
        <w:tc>
          <w:tcPr>
            <w:tcW w:w="2318" w:type="dxa"/>
            <w:noWrap w:val="0"/>
            <w:vAlign w:val="center"/>
          </w:tcPr>
          <w:p>
            <w:pPr>
              <w:kinsoku/>
              <w:autoSpaceDE/>
              <w:autoSpaceDN/>
              <w:adjustRightInd/>
              <w:snapToGrid/>
              <w:jc w:val="center"/>
              <w:textAlignment w:val="auto"/>
              <w:rPr>
                <w:rFonts w:ascii="Times New Roman" w:hAnsi="Times New Roman" w:eastAsia="仿宋_GB2312" w:cs="Times New Roman"/>
                <w:snapToGrid/>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22" w:type="dxa"/>
            <w:gridSpan w:val="4"/>
            <w:noWrap w:val="0"/>
            <w:vAlign w:val="center"/>
          </w:tcPr>
          <w:p>
            <w:pPr>
              <w:kinsoku/>
              <w:autoSpaceDE/>
              <w:autoSpaceDN/>
              <w:adjustRightInd/>
              <w:snapToGrid/>
              <w:spacing w:line="360" w:lineRule="auto"/>
              <w:ind w:firstLine="480" w:firstLineChars="200"/>
              <w:textAlignment w:val="auto"/>
              <w:rPr>
                <w:rFonts w:ascii="Times New Roman" w:hAnsi="Times New Roman" w:eastAsia="仿宋_GB2312" w:cs="Times New Roman"/>
                <w:snapToGrid/>
                <w:sz w:val="24"/>
                <w:szCs w:val="22"/>
              </w:rPr>
            </w:pPr>
            <w:r>
              <w:rPr>
                <w:rFonts w:ascii="Times New Roman" w:hAnsi="Times New Roman" w:eastAsia="仿宋_GB2312" w:cs="Times New Roman"/>
                <w:snapToGrid/>
                <w:sz w:val="24"/>
                <w:szCs w:val="22"/>
              </w:rPr>
              <w:t>本机构承诺，已对申请单位材料进行了全面审核，材料真实有效，第三方评价程序规范完整，结论客观公正。评价报告若存在弄虚作假，本机构愿承担责任。</w:t>
            </w:r>
          </w:p>
          <w:p>
            <w:pPr>
              <w:kinsoku/>
              <w:wordWrap w:val="0"/>
              <w:autoSpaceDE/>
              <w:autoSpaceDN/>
              <w:adjustRightInd/>
              <w:snapToGrid/>
              <w:spacing w:line="360" w:lineRule="auto"/>
              <w:ind w:right="240"/>
              <w:jc w:val="right"/>
              <w:textAlignment w:val="auto"/>
              <w:rPr>
                <w:rFonts w:ascii="Times New Roman" w:hAnsi="Times New Roman" w:eastAsia="仿宋_GB2312" w:cs="Times New Roman"/>
                <w:b/>
                <w:snapToGrid/>
                <w:sz w:val="24"/>
                <w:szCs w:val="22"/>
              </w:rPr>
            </w:pPr>
          </w:p>
          <w:p>
            <w:pPr>
              <w:kinsoku/>
              <w:wordWrap w:val="0"/>
              <w:autoSpaceDE/>
              <w:autoSpaceDN/>
              <w:adjustRightInd/>
              <w:snapToGrid/>
              <w:spacing w:line="360" w:lineRule="auto"/>
              <w:ind w:right="240"/>
              <w:jc w:val="right"/>
              <w:textAlignment w:val="auto"/>
              <w:rPr>
                <w:rFonts w:ascii="Times New Roman" w:hAnsi="Times New Roman" w:eastAsia="仿宋_GB2312" w:cs="Times New Roman"/>
                <w:b/>
                <w:snapToGrid/>
                <w:sz w:val="24"/>
                <w:szCs w:val="22"/>
              </w:rPr>
            </w:pPr>
            <w:r>
              <w:rPr>
                <w:rFonts w:ascii="Times New Roman" w:hAnsi="Times New Roman" w:eastAsia="仿宋_GB2312" w:cs="Times New Roman"/>
                <w:b/>
                <w:snapToGrid/>
                <w:sz w:val="24"/>
                <w:szCs w:val="22"/>
              </w:rPr>
              <w:t xml:space="preserve">负责人签字：             </w:t>
            </w:r>
          </w:p>
          <w:p>
            <w:pPr>
              <w:kinsoku/>
              <w:wordWrap w:val="0"/>
              <w:autoSpaceDE/>
              <w:autoSpaceDN/>
              <w:adjustRightInd/>
              <w:snapToGrid/>
              <w:spacing w:line="360" w:lineRule="auto"/>
              <w:jc w:val="right"/>
              <w:textAlignment w:val="auto"/>
              <w:rPr>
                <w:rFonts w:ascii="Times New Roman" w:hAnsi="Times New Roman" w:eastAsia="仿宋_GB2312" w:cs="Times New Roman"/>
                <w:snapToGrid/>
                <w:sz w:val="24"/>
                <w:szCs w:val="22"/>
              </w:rPr>
            </w:pPr>
            <w:r>
              <w:rPr>
                <w:rFonts w:ascii="Times New Roman" w:hAnsi="Times New Roman" w:eastAsia="仿宋_GB2312" w:cs="Times New Roman"/>
                <w:b/>
                <w:snapToGrid/>
                <w:sz w:val="24"/>
                <w:szCs w:val="22"/>
              </w:rPr>
              <w:t>（单位公章）</w:t>
            </w:r>
            <w:r>
              <w:rPr>
                <w:rFonts w:ascii="Times New Roman" w:hAnsi="Times New Roman" w:eastAsia="仿宋_GB2312" w:cs="Times New Roman"/>
                <w:snapToGrid/>
                <w:sz w:val="24"/>
                <w:szCs w:val="22"/>
              </w:rPr>
              <w:t xml:space="preserve">               </w:t>
            </w:r>
          </w:p>
          <w:p>
            <w:pPr>
              <w:kinsoku/>
              <w:autoSpaceDE/>
              <w:autoSpaceDN/>
              <w:adjustRightInd/>
              <w:snapToGrid/>
              <w:jc w:val="center"/>
              <w:textAlignment w:val="auto"/>
              <w:rPr>
                <w:rFonts w:ascii="Times New Roman" w:hAnsi="Times New Roman" w:eastAsia="仿宋_GB2312" w:cs="Times New Roman"/>
                <w:snapToGrid/>
                <w:sz w:val="24"/>
                <w:szCs w:val="22"/>
              </w:rPr>
            </w:pPr>
          </w:p>
        </w:tc>
      </w:tr>
    </w:tbl>
    <w:p>
      <w:pPr>
        <w:widowControl w:val="0"/>
        <w:kinsoku/>
        <w:autoSpaceDE/>
        <w:autoSpaceDN/>
        <w:adjustRightInd/>
        <w:spacing w:line="560" w:lineRule="exact"/>
        <w:jc w:val="center"/>
        <w:textAlignment w:val="auto"/>
        <w:outlineLvl w:val="0"/>
        <w:rPr>
          <w:rFonts w:ascii="Times New Roman" w:hAnsi="Times New Roman" w:eastAsia="方正小标宋简体" w:cs="Times New Roman"/>
          <w:bCs/>
          <w:snapToGrid/>
          <w:kern w:val="2"/>
          <w:sz w:val="40"/>
          <w:szCs w:val="40"/>
        </w:rPr>
      </w:pPr>
      <w:r>
        <w:rPr>
          <w:rFonts w:ascii="Times New Roman" w:hAnsi="Times New Roman" w:eastAsia="黑体" w:cs="Times New Roman"/>
          <w:bCs/>
          <w:snapToGrid/>
          <w:kern w:val="2"/>
          <w:sz w:val="44"/>
          <w:szCs w:val="44"/>
        </w:rPr>
        <w:br w:type="page"/>
      </w:r>
      <w:r>
        <w:rPr>
          <w:rFonts w:ascii="Times New Roman" w:hAnsi="Times New Roman" w:eastAsia="方正小标宋简体" w:cs="Times New Roman"/>
          <w:bCs/>
          <w:snapToGrid/>
          <w:kern w:val="2"/>
          <w:sz w:val="40"/>
          <w:szCs w:val="40"/>
        </w:rPr>
        <w:t>绿色工厂评价报告</w:t>
      </w:r>
      <w:r>
        <w:rPr>
          <w:rFonts w:ascii="Times New Roman" w:hAnsi="Times New Roman" w:eastAsia="方正大标宋简体" w:cs="Times New Roman"/>
          <w:bCs/>
          <w:snapToGrid/>
          <w:kern w:val="2"/>
          <w:sz w:val="40"/>
          <w:szCs w:val="40"/>
        </w:rPr>
        <w:t>（</w:t>
      </w:r>
      <w:r>
        <w:rPr>
          <w:rFonts w:ascii="Times New Roman" w:hAnsi="Times New Roman" w:eastAsia="楷体" w:cs="Times New Roman"/>
          <w:bCs/>
          <w:snapToGrid/>
          <w:kern w:val="2"/>
          <w:sz w:val="40"/>
          <w:szCs w:val="40"/>
        </w:rPr>
        <w:t>格式</w:t>
      </w:r>
      <w:r>
        <w:rPr>
          <w:rFonts w:ascii="Times New Roman" w:hAnsi="Times New Roman" w:eastAsia="方正大标宋简体" w:cs="Times New Roman"/>
          <w:bCs/>
          <w:snapToGrid/>
          <w:kern w:val="2"/>
          <w:sz w:val="40"/>
          <w:szCs w:val="40"/>
        </w:rPr>
        <w:t>）</w:t>
      </w:r>
    </w:p>
    <w:p>
      <w:pPr>
        <w:widowControl w:val="0"/>
        <w:kinsoku/>
        <w:autoSpaceDE/>
        <w:autoSpaceDN/>
        <w:adjustRightInd/>
        <w:spacing w:line="560" w:lineRule="exact"/>
        <w:jc w:val="center"/>
        <w:textAlignment w:val="auto"/>
        <w:outlineLvl w:val="0"/>
        <w:rPr>
          <w:rFonts w:ascii="Times New Roman" w:hAnsi="Times New Roman" w:eastAsia="方正小标宋简体" w:cs="Times New Roman"/>
          <w:bCs/>
          <w:snapToGrid/>
          <w:kern w:val="2"/>
          <w:sz w:val="40"/>
          <w:szCs w:val="40"/>
        </w:rPr>
      </w:pPr>
    </w:p>
    <w:p>
      <w:pPr>
        <w:widowControl w:val="0"/>
        <w:kinsoku/>
        <w:autoSpaceDE/>
        <w:autoSpaceDN/>
        <w:adjustRightInd/>
        <w:snapToGrid/>
        <w:spacing w:line="600" w:lineRule="exact"/>
        <w:ind w:firstLine="640" w:firstLineChars="200"/>
        <w:jc w:val="both"/>
        <w:textAlignment w:val="auto"/>
        <w:rPr>
          <w:rFonts w:ascii="Times New Roman" w:hAnsi="Times New Roman" w:eastAsia="黑体" w:cs="Times New Roman"/>
          <w:bCs/>
          <w:snapToGrid/>
          <w:kern w:val="2"/>
          <w:sz w:val="32"/>
          <w:szCs w:val="32"/>
        </w:rPr>
      </w:pPr>
      <w:r>
        <w:rPr>
          <w:rFonts w:ascii="Times New Roman" w:hAnsi="Times New Roman" w:eastAsia="黑体" w:cs="Times New Roman"/>
          <w:bCs/>
          <w:snapToGrid/>
          <w:kern w:val="2"/>
          <w:sz w:val="32"/>
          <w:szCs w:val="32"/>
        </w:rPr>
        <w:t>一、概述</w:t>
      </w:r>
    </w:p>
    <w:p>
      <w:pPr>
        <w:widowControl w:val="0"/>
        <w:kinsoku/>
        <w:autoSpaceDE/>
        <w:autoSpaceDN/>
        <w:adjustRightInd/>
        <w:snapToGrid/>
        <w:spacing w:line="600" w:lineRule="exact"/>
        <w:ind w:firstLine="640" w:firstLineChars="200"/>
        <w:jc w:val="both"/>
        <w:textAlignment w:val="auto"/>
        <w:rPr>
          <w:rFonts w:ascii="Times New Roman" w:hAnsi="Times New Roman" w:eastAsia="仿宋" w:cs="Times New Roman"/>
          <w:snapToGrid/>
          <w:kern w:val="2"/>
          <w:sz w:val="32"/>
          <w:szCs w:val="32"/>
        </w:rPr>
      </w:pPr>
      <w:r>
        <w:rPr>
          <w:rFonts w:ascii="Times New Roman" w:hAnsi="Times New Roman" w:eastAsia="仿宋" w:cs="Times New Roman"/>
          <w:snapToGrid/>
          <w:kern w:val="2"/>
          <w:sz w:val="32"/>
          <w:szCs w:val="32"/>
        </w:rPr>
        <w:t>主要介绍绿色工厂评价的目的、范围及准则。</w:t>
      </w:r>
    </w:p>
    <w:p>
      <w:pPr>
        <w:widowControl w:val="0"/>
        <w:kinsoku/>
        <w:autoSpaceDE/>
        <w:autoSpaceDN/>
        <w:adjustRightInd/>
        <w:snapToGrid/>
        <w:spacing w:line="600" w:lineRule="exact"/>
        <w:ind w:firstLine="640" w:firstLineChars="200"/>
        <w:jc w:val="both"/>
        <w:textAlignment w:val="auto"/>
        <w:rPr>
          <w:rFonts w:ascii="Times New Roman" w:hAnsi="Times New Roman" w:eastAsia="黑体" w:cs="Times New Roman"/>
          <w:bCs/>
          <w:snapToGrid/>
          <w:kern w:val="2"/>
          <w:sz w:val="32"/>
          <w:szCs w:val="32"/>
        </w:rPr>
      </w:pPr>
      <w:r>
        <w:rPr>
          <w:rFonts w:ascii="Times New Roman" w:hAnsi="Times New Roman" w:eastAsia="黑体" w:cs="Times New Roman"/>
          <w:bCs/>
          <w:snapToGrid/>
          <w:kern w:val="2"/>
          <w:sz w:val="32"/>
          <w:szCs w:val="32"/>
        </w:rPr>
        <w:t>二、评价过程和方法</w:t>
      </w:r>
    </w:p>
    <w:p>
      <w:pPr>
        <w:widowControl w:val="0"/>
        <w:kinsoku/>
        <w:autoSpaceDE/>
        <w:autoSpaceDN/>
        <w:adjustRightInd/>
        <w:snapToGrid/>
        <w:spacing w:line="600" w:lineRule="exact"/>
        <w:ind w:firstLine="640" w:firstLineChars="200"/>
        <w:jc w:val="both"/>
        <w:textAlignment w:val="auto"/>
        <w:rPr>
          <w:rFonts w:ascii="Times New Roman" w:hAnsi="Times New Roman" w:eastAsia="仿宋" w:cs="Times New Roman"/>
          <w:snapToGrid/>
          <w:kern w:val="2"/>
          <w:sz w:val="32"/>
          <w:szCs w:val="32"/>
        </w:rPr>
      </w:pPr>
      <w:r>
        <w:rPr>
          <w:rFonts w:ascii="Times New Roman" w:hAnsi="Times New Roman" w:eastAsia="仿宋" w:cs="Times New Roman"/>
          <w:snapToGrid/>
          <w:kern w:val="2"/>
          <w:sz w:val="32"/>
          <w:szCs w:val="32"/>
        </w:rPr>
        <w:t>主要介绍评价组织安排、文件评审情况、现场评价情况、核查报告编写及内部技术复核情况。</w:t>
      </w:r>
    </w:p>
    <w:p>
      <w:pPr>
        <w:widowControl w:val="0"/>
        <w:kinsoku/>
        <w:autoSpaceDE/>
        <w:autoSpaceDN/>
        <w:adjustRightInd/>
        <w:snapToGrid/>
        <w:spacing w:line="600" w:lineRule="exact"/>
        <w:ind w:firstLine="640" w:firstLineChars="200"/>
        <w:jc w:val="both"/>
        <w:textAlignment w:val="auto"/>
        <w:rPr>
          <w:rFonts w:ascii="Times New Roman" w:hAnsi="Times New Roman" w:eastAsia="黑体" w:cs="Times New Roman"/>
          <w:bCs/>
          <w:snapToGrid/>
          <w:kern w:val="2"/>
          <w:sz w:val="32"/>
          <w:szCs w:val="32"/>
        </w:rPr>
      </w:pPr>
      <w:r>
        <w:rPr>
          <w:rFonts w:ascii="Times New Roman" w:hAnsi="Times New Roman" w:eastAsia="黑体" w:cs="Times New Roman"/>
          <w:bCs/>
          <w:snapToGrid/>
          <w:kern w:val="2"/>
          <w:sz w:val="32"/>
          <w:szCs w:val="32"/>
        </w:rPr>
        <w:t>三、评价内容</w:t>
      </w:r>
    </w:p>
    <w:p>
      <w:pPr>
        <w:widowControl w:val="0"/>
        <w:kinsoku/>
        <w:autoSpaceDE/>
        <w:autoSpaceDN/>
        <w:adjustRightInd/>
        <w:snapToGrid/>
        <w:spacing w:line="600" w:lineRule="exact"/>
        <w:ind w:firstLine="640" w:firstLineChars="200"/>
        <w:jc w:val="both"/>
        <w:textAlignment w:val="auto"/>
        <w:rPr>
          <w:rFonts w:ascii="Times New Roman" w:hAnsi="Times New Roman" w:eastAsia="仿宋" w:cs="Times New Roman"/>
          <w:snapToGrid/>
          <w:kern w:val="2"/>
          <w:sz w:val="32"/>
          <w:szCs w:val="32"/>
        </w:rPr>
      </w:pPr>
      <w:r>
        <w:rPr>
          <w:rFonts w:ascii="Times New Roman" w:hAnsi="Times New Roman" w:eastAsia="仿宋" w:cs="Times New Roman"/>
          <w:snapToGrid/>
          <w:kern w:val="2"/>
          <w:sz w:val="32"/>
          <w:szCs w:val="32"/>
        </w:rPr>
        <w:t>第三方应按以下内容对申报工厂材料进行评价：</w:t>
      </w:r>
    </w:p>
    <w:p>
      <w:pPr>
        <w:widowControl w:val="0"/>
        <w:kinsoku/>
        <w:autoSpaceDE/>
        <w:autoSpaceDN/>
        <w:adjustRightInd/>
        <w:snapToGrid/>
        <w:spacing w:line="600" w:lineRule="exact"/>
        <w:ind w:firstLine="640" w:firstLineChars="200"/>
        <w:jc w:val="both"/>
        <w:textAlignment w:val="auto"/>
        <w:rPr>
          <w:rFonts w:ascii="Times New Roman" w:hAnsi="Times New Roman" w:eastAsia="仿宋" w:cs="Times New Roman"/>
          <w:snapToGrid/>
          <w:kern w:val="2"/>
          <w:sz w:val="32"/>
          <w:szCs w:val="32"/>
        </w:rPr>
      </w:pPr>
      <w:r>
        <w:rPr>
          <w:rFonts w:ascii="Times New Roman" w:hAnsi="Times New Roman" w:eastAsia="仿宋" w:cs="Times New Roman"/>
          <w:snapToGrid/>
          <w:kern w:val="2"/>
          <w:sz w:val="32"/>
          <w:szCs w:val="32"/>
        </w:rPr>
        <w:t>1、对申报工厂的基础设施、管理体系、能源与资源投入、产品、环境排放、绩效等方面进行描述，并对工厂申报报告中的相关内容进行核实；</w:t>
      </w:r>
    </w:p>
    <w:p>
      <w:pPr>
        <w:widowControl w:val="0"/>
        <w:kinsoku/>
        <w:autoSpaceDE/>
        <w:autoSpaceDN/>
        <w:adjustRightInd/>
        <w:snapToGrid/>
        <w:spacing w:line="600" w:lineRule="exact"/>
        <w:ind w:firstLine="640" w:firstLineChars="200"/>
        <w:jc w:val="both"/>
        <w:textAlignment w:val="auto"/>
        <w:rPr>
          <w:rFonts w:ascii="Times New Roman" w:hAnsi="Times New Roman" w:eastAsia="仿宋" w:cs="Times New Roman"/>
          <w:snapToGrid/>
          <w:kern w:val="2"/>
          <w:sz w:val="32"/>
          <w:szCs w:val="32"/>
        </w:rPr>
      </w:pPr>
      <w:r>
        <w:rPr>
          <w:rFonts w:ascii="Times New Roman" w:hAnsi="Times New Roman" w:eastAsia="仿宋" w:cs="Times New Roman"/>
          <w:snapToGrid/>
          <w:kern w:val="2"/>
          <w:sz w:val="32"/>
          <w:szCs w:val="32"/>
        </w:rPr>
        <w:t>2、依据《绿色工厂评价要求》，核实数据真实性、计算范围及计算方法，检查相关计量设备和有关标准的落实等情况；</w:t>
      </w:r>
    </w:p>
    <w:p>
      <w:pPr>
        <w:widowControl w:val="0"/>
        <w:kinsoku/>
        <w:autoSpaceDE/>
        <w:autoSpaceDN/>
        <w:adjustRightInd/>
        <w:snapToGrid/>
        <w:spacing w:line="600" w:lineRule="exact"/>
        <w:ind w:firstLine="640" w:firstLineChars="200"/>
        <w:jc w:val="both"/>
        <w:textAlignment w:val="auto"/>
        <w:rPr>
          <w:rFonts w:ascii="Times New Roman" w:hAnsi="Times New Roman" w:eastAsia="仿宋" w:cs="Times New Roman"/>
          <w:snapToGrid/>
          <w:kern w:val="2"/>
          <w:sz w:val="32"/>
          <w:szCs w:val="32"/>
        </w:rPr>
      </w:pPr>
      <w:r>
        <w:rPr>
          <w:rFonts w:ascii="Times New Roman" w:hAnsi="Times New Roman" w:eastAsia="仿宋" w:cs="Times New Roman"/>
          <w:snapToGrid/>
          <w:kern w:val="2"/>
          <w:sz w:val="32"/>
          <w:szCs w:val="32"/>
        </w:rPr>
        <w:t>3、对企业自评所出现的问题情况进行描述。</w:t>
      </w:r>
    </w:p>
    <w:p>
      <w:pPr>
        <w:widowControl w:val="0"/>
        <w:kinsoku/>
        <w:autoSpaceDE/>
        <w:autoSpaceDN/>
        <w:adjustRightInd/>
        <w:snapToGrid/>
        <w:spacing w:line="600" w:lineRule="exact"/>
        <w:ind w:firstLine="640" w:firstLineChars="200"/>
        <w:jc w:val="both"/>
        <w:textAlignment w:val="auto"/>
        <w:rPr>
          <w:rFonts w:ascii="Times New Roman" w:hAnsi="Times New Roman" w:eastAsia="黑体" w:cs="Times New Roman"/>
          <w:bCs/>
          <w:snapToGrid/>
          <w:kern w:val="2"/>
          <w:sz w:val="32"/>
          <w:szCs w:val="32"/>
        </w:rPr>
      </w:pPr>
      <w:r>
        <w:rPr>
          <w:rFonts w:ascii="Times New Roman" w:hAnsi="Times New Roman" w:eastAsia="黑体" w:cs="Times New Roman"/>
          <w:bCs/>
          <w:snapToGrid/>
          <w:kern w:val="2"/>
          <w:sz w:val="32"/>
          <w:szCs w:val="32"/>
        </w:rPr>
        <w:t>四、评价结论</w:t>
      </w:r>
    </w:p>
    <w:p>
      <w:pPr>
        <w:widowControl w:val="0"/>
        <w:kinsoku/>
        <w:autoSpaceDE/>
        <w:autoSpaceDN/>
        <w:adjustRightInd/>
        <w:snapToGrid/>
        <w:spacing w:line="600" w:lineRule="exact"/>
        <w:ind w:firstLine="640" w:firstLineChars="200"/>
        <w:jc w:val="both"/>
        <w:textAlignment w:val="auto"/>
        <w:rPr>
          <w:rFonts w:ascii="Times New Roman" w:hAnsi="Times New Roman" w:eastAsia="仿宋" w:cs="Times New Roman"/>
          <w:snapToGrid/>
          <w:kern w:val="2"/>
          <w:sz w:val="32"/>
          <w:szCs w:val="32"/>
        </w:rPr>
      </w:pPr>
      <w:r>
        <w:rPr>
          <w:rFonts w:ascii="Times New Roman" w:hAnsi="Times New Roman" w:eastAsia="仿宋" w:cs="Times New Roman"/>
          <w:snapToGrid/>
          <w:kern w:val="2"/>
          <w:sz w:val="32"/>
          <w:szCs w:val="32"/>
        </w:rPr>
        <w:t>对申报工厂是否符合绿色工厂要求进行评价，说明各评价指标值及是否符合评价要求情况，描述主要创建做法及工作亮点等。</w:t>
      </w:r>
    </w:p>
    <w:p>
      <w:pPr>
        <w:widowControl w:val="0"/>
        <w:kinsoku/>
        <w:autoSpaceDE/>
        <w:autoSpaceDN/>
        <w:adjustRightInd/>
        <w:snapToGrid/>
        <w:spacing w:line="600" w:lineRule="exact"/>
        <w:ind w:firstLine="640" w:firstLineChars="200"/>
        <w:jc w:val="both"/>
        <w:textAlignment w:val="auto"/>
        <w:rPr>
          <w:rFonts w:ascii="Times New Roman" w:hAnsi="Times New Roman" w:eastAsia="黑体" w:cs="Times New Roman"/>
          <w:bCs/>
          <w:snapToGrid/>
          <w:kern w:val="2"/>
          <w:sz w:val="32"/>
          <w:szCs w:val="32"/>
        </w:rPr>
      </w:pPr>
      <w:r>
        <w:rPr>
          <w:rFonts w:ascii="Times New Roman" w:hAnsi="Times New Roman" w:eastAsia="黑体" w:cs="Times New Roman"/>
          <w:bCs/>
          <w:snapToGrid/>
          <w:kern w:val="2"/>
          <w:sz w:val="32"/>
          <w:szCs w:val="32"/>
        </w:rPr>
        <w:t>五、建议</w:t>
      </w:r>
    </w:p>
    <w:p>
      <w:pPr>
        <w:widowControl w:val="0"/>
        <w:kinsoku/>
        <w:autoSpaceDE/>
        <w:autoSpaceDN/>
        <w:adjustRightInd/>
        <w:snapToGrid/>
        <w:spacing w:line="600" w:lineRule="exact"/>
        <w:ind w:firstLine="640" w:firstLineChars="200"/>
        <w:jc w:val="both"/>
        <w:textAlignment w:val="auto"/>
        <w:rPr>
          <w:rFonts w:ascii="Times New Roman" w:hAnsi="Times New Roman" w:eastAsia="仿宋_GB2312" w:cs="Times New Roman"/>
          <w:snapToGrid/>
          <w:kern w:val="2"/>
          <w:sz w:val="32"/>
          <w:szCs w:val="32"/>
        </w:rPr>
      </w:pPr>
      <w:r>
        <w:rPr>
          <w:rFonts w:ascii="Times New Roman" w:hAnsi="Times New Roman" w:eastAsia="仿宋" w:cs="Times New Roman"/>
          <w:snapToGrid/>
          <w:kern w:val="2"/>
          <w:sz w:val="32"/>
          <w:szCs w:val="32"/>
        </w:rPr>
        <w:t>对工厂持续创建绿色工厂的下一步工作提出建议</w:t>
      </w:r>
      <w:r>
        <w:rPr>
          <w:rFonts w:ascii="Times New Roman" w:hAnsi="Times New Roman" w:eastAsia="仿宋_GB2312" w:cs="Times New Roman"/>
          <w:snapToGrid/>
          <w:kern w:val="2"/>
          <w:sz w:val="32"/>
          <w:szCs w:val="32"/>
        </w:rPr>
        <w:t>。</w:t>
      </w:r>
    </w:p>
    <w:p>
      <w:pPr>
        <w:widowControl w:val="0"/>
        <w:kinsoku/>
        <w:autoSpaceDE/>
        <w:autoSpaceDN/>
        <w:adjustRightInd/>
        <w:snapToGrid/>
        <w:spacing w:line="600" w:lineRule="exact"/>
        <w:ind w:firstLine="640" w:firstLineChars="200"/>
        <w:jc w:val="both"/>
        <w:textAlignment w:val="auto"/>
        <w:rPr>
          <w:rFonts w:ascii="Times New Roman" w:hAnsi="Times New Roman" w:eastAsia="黑体" w:cs="Times New Roman"/>
          <w:bCs/>
          <w:snapToGrid/>
          <w:kern w:val="2"/>
          <w:sz w:val="32"/>
          <w:szCs w:val="32"/>
        </w:rPr>
      </w:pPr>
      <w:r>
        <w:rPr>
          <w:rFonts w:ascii="Times New Roman" w:hAnsi="Times New Roman" w:eastAsia="黑体" w:cs="Times New Roman"/>
          <w:bCs/>
          <w:snapToGrid/>
          <w:kern w:val="2"/>
          <w:sz w:val="32"/>
          <w:szCs w:val="32"/>
        </w:rPr>
        <w:t>六、参考文件</w:t>
      </w:r>
    </w:p>
    <w:p>
      <w:pPr>
        <w:widowControl w:val="0"/>
        <w:kinsoku/>
        <w:autoSpaceDE/>
        <w:autoSpaceDN/>
        <w:adjustRightInd/>
        <w:snapToGrid/>
        <w:spacing w:line="600" w:lineRule="exact"/>
        <w:ind w:firstLine="640" w:firstLineChars="200"/>
        <w:jc w:val="both"/>
        <w:textAlignment w:val="auto"/>
        <w:rPr>
          <w:rFonts w:ascii="Times New Roman" w:hAnsi="Times New Roman" w:eastAsia="仿宋" w:cs="Times New Roman"/>
          <w:snapToGrid/>
          <w:kern w:val="2"/>
          <w:sz w:val="32"/>
          <w:szCs w:val="32"/>
        </w:rPr>
      </w:pPr>
      <w:r>
        <w:rPr>
          <w:rFonts w:ascii="Times New Roman" w:hAnsi="Times New Roman" w:eastAsia="仿宋" w:cs="Times New Roman"/>
          <w:snapToGrid/>
          <w:kern w:val="2"/>
          <w:sz w:val="32"/>
          <w:szCs w:val="32"/>
        </w:rPr>
        <w:t>列出报告编写过程中所使用的相关参考文件（与附表2.1及附表2.2的证明材料索引一栏对应）。</w:t>
      </w:r>
    </w:p>
    <w:p>
      <w:pPr>
        <w:widowControl w:val="0"/>
        <w:kinsoku/>
        <w:autoSpaceDE/>
        <w:autoSpaceDN/>
        <w:adjustRightInd/>
        <w:snapToGrid/>
        <w:spacing w:line="600" w:lineRule="exact"/>
        <w:ind w:firstLine="640" w:firstLineChars="200"/>
        <w:jc w:val="both"/>
        <w:textAlignment w:val="auto"/>
        <w:rPr>
          <w:rFonts w:ascii="Times New Roman" w:hAnsi="Times New Roman" w:eastAsia="黑体" w:cs="Times New Roman"/>
          <w:bCs/>
          <w:snapToGrid/>
          <w:kern w:val="2"/>
          <w:sz w:val="32"/>
          <w:szCs w:val="32"/>
        </w:rPr>
      </w:pPr>
      <w:r>
        <w:rPr>
          <w:rFonts w:ascii="Times New Roman" w:hAnsi="Times New Roman" w:eastAsia="黑体" w:cs="Times New Roman"/>
          <w:bCs/>
          <w:snapToGrid/>
          <w:kern w:val="2"/>
          <w:sz w:val="32"/>
          <w:szCs w:val="32"/>
        </w:rPr>
        <w:t>七、第三方机构资质符合性证明材料</w:t>
      </w:r>
    </w:p>
    <w:p>
      <w:pPr>
        <w:widowControl w:val="0"/>
        <w:kinsoku/>
        <w:autoSpaceDE/>
        <w:autoSpaceDN/>
        <w:adjustRightInd/>
        <w:snapToGrid/>
        <w:spacing w:line="600" w:lineRule="exact"/>
        <w:ind w:firstLine="640" w:firstLineChars="200"/>
        <w:jc w:val="both"/>
        <w:textAlignment w:val="auto"/>
        <w:rPr>
          <w:rFonts w:ascii="Times New Roman" w:hAnsi="Times New Roman" w:eastAsia="仿宋" w:cs="Times New Roman"/>
          <w:snapToGrid/>
          <w:kern w:val="2"/>
          <w:sz w:val="32"/>
          <w:szCs w:val="32"/>
        </w:rPr>
      </w:pPr>
      <w:r>
        <w:rPr>
          <w:rFonts w:ascii="Times New Roman" w:hAnsi="Times New Roman" w:eastAsia="仿宋" w:cs="Times New Roman"/>
          <w:snapToGrid/>
          <w:kern w:val="2"/>
          <w:sz w:val="32"/>
          <w:szCs w:val="32"/>
        </w:rPr>
        <w:t>列出第三方机构满足条件的资质符合性证明材料。</w:t>
      </w:r>
    </w:p>
    <w:p>
      <w:pPr>
        <w:rPr>
          <w:rFonts w:ascii="Times New Roman" w:hAnsi="Times New Roman" w:eastAsia="仿宋" w:cs="Times New Roman"/>
          <w:sz w:val="32"/>
          <w:szCs w:val="32"/>
        </w:rPr>
        <w:sectPr>
          <w:pgSz w:w="11906" w:h="16838"/>
          <w:pgMar w:top="2098" w:right="1247" w:bottom="1417" w:left="1587" w:header="1361" w:footer="992" w:gutter="0"/>
          <w:pgNumType w:fmt="numberInDash"/>
          <w:cols w:space="720" w:num="1"/>
          <w:docGrid w:type="lines" w:linePitch="312" w:charSpace="0"/>
        </w:sectPr>
      </w:pPr>
    </w:p>
    <w:p>
      <w:pPr>
        <w:widowControl w:val="0"/>
        <w:kinsoku/>
        <w:autoSpaceDE/>
        <w:autoSpaceDN/>
        <w:adjustRightInd/>
        <w:snapToGrid/>
        <w:jc w:val="both"/>
        <w:textAlignment w:val="auto"/>
        <w:rPr>
          <w:rFonts w:ascii="Times New Roman" w:hAnsi="Times New Roman" w:eastAsia="黑体" w:cs="Times New Roman"/>
          <w:snapToGrid/>
          <w:kern w:val="2"/>
          <w:sz w:val="32"/>
          <w:szCs w:val="32"/>
        </w:rPr>
      </w:pPr>
      <w:r>
        <w:rPr>
          <w:rFonts w:ascii="Times New Roman" w:hAnsi="Times New Roman" w:eastAsia="黑体" w:cs="Times New Roman"/>
          <w:snapToGrid/>
          <w:kern w:val="2"/>
          <w:sz w:val="32"/>
          <w:szCs w:val="32"/>
        </w:rPr>
        <w:t>附表2.1</w:t>
      </w:r>
    </w:p>
    <w:p>
      <w:pPr>
        <w:kinsoku/>
        <w:autoSpaceDE/>
        <w:autoSpaceDN/>
        <w:adjustRightInd/>
        <w:snapToGrid/>
        <w:jc w:val="center"/>
        <w:textAlignment w:val="auto"/>
        <w:rPr>
          <w:rFonts w:ascii="Times New Roman" w:hAnsi="Times New Roman" w:eastAsia="方正小标宋简体" w:cs="Times New Roman"/>
          <w:bCs/>
          <w:snapToGrid/>
          <w:kern w:val="2"/>
          <w:sz w:val="40"/>
          <w:szCs w:val="40"/>
        </w:rPr>
      </w:pPr>
      <w:r>
        <w:rPr>
          <w:rFonts w:ascii="Times New Roman" w:hAnsi="Times New Roman" w:eastAsia="方正小标宋简体" w:cs="Times New Roman"/>
          <w:bCs/>
          <w:snapToGrid/>
          <w:kern w:val="2"/>
          <w:sz w:val="40"/>
          <w:szCs w:val="40"/>
        </w:rPr>
        <w:t>绿色工厂基本要求第三方评价表</w:t>
      </w:r>
    </w:p>
    <w:p>
      <w:pPr>
        <w:widowControl w:val="0"/>
        <w:kinsoku/>
        <w:snapToGrid/>
        <w:jc w:val="center"/>
        <w:textAlignment w:val="auto"/>
        <w:rPr>
          <w:rFonts w:ascii="Times New Roman" w:hAnsi="Times New Roman" w:eastAsia="仿宋" w:cs="Times New Roman"/>
          <w:b/>
          <w:snapToGrid/>
          <w:sz w:val="32"/>
          <w:szCs w:val="32"/>
        </w:rPr>
      </w:pPr>
      <w:r>
        <w:rPr>
          <w:rFonts w:ascii="Times New Roman" w:hAnsi="Times New Roman" w:eastAsia="仿宋" w:cs="Times New Roman"/>
          <w:b/>
          <w:snapToGrid/>
          <w:sz w:val="32"/>
          <w:szCs w:val="32"/>
        </w:rPr>
        <w:t>（20  年）</w:t>
      </w:r>
    </w:p>
    <w:tbl>
      <w:tblPr>
        <w:tblStyle w:val="3"/>
        <w:tblW w:w="150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1860"/>
        <w:gridCol w:w="7123"/>
        <w:gridCol w:w="1482"/>
        <w:gridCol w:w="4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70" w:hRule="atLeast"/>
          <w:tblHeader/>
          <w:jc w:val="center"/>
        </w:trPr>
        <w:tc>
          <w:tcPr>
            <w:tcW w:w="8435" w:type="dxa"/>
            <w:gridSpan w:val="2"/>
            <w:noWrap w:val="0"/>
            <w:vAlign w:val="center"/>
          </w:tcPr>
          <w:p>
            <w:pPr>
              <w:widowControl w:val="0"/>
              <w:kinsoku/>
              <w:autoSpaceDE/>
              <w:autoSpaceDN/>
              <w:adjustRightInd/>
              <w:snapToGrid/>
              <w:jc w:val="center"/>
              <w:textAlignment w:val="auto"/>
              <w:rPr>
                <w:rFonts w:hint="eastAsia" w:ascii="黑体" w:hAnsi="黑体" w:eastAsia="黑体" w:cs="黑体"/>
                <w:snapToGrid/>
                <w:kern w:val="2"/>
                <w:sz w:val="24"/>
                <w:szCs w:val="24"/>
              </w:rPr>
            </w:pPr>
            <w:r>
              <w:rPr>
                <w:rFonts w:hint="eastAsia" w:ascii="黑体" w:hAnsi="黑体" w:eastAsia="黑体" w:cs="黑体"/>
                <w:snapToGrid/>
                <w:kern w:val="2"/>
                <w:sz w:val="24"/>
                <w:szCs w:val="24"/>
              </w:rPr>
              <w:t>基本要求</w:t>
            </w:r>
          </w:p>
        </w:tc>
        <w:tc>
          <w:tcPr>
            <w:tcW w:w="1392" w:type="dxa"/>
            <w:noWrap w:val="0"/>
            <w:vAlign w:val="center"/>
          </w:tcPr>
          <w:p>
            <w:pPr>
              <w:widowControl w:val="0"/>
              <w:kinsoku/>
              <w:autoSpaceDE/>
              <w:autoSpaceDN/>
              <w:adjustRightInd/>
              <w:snapToGrid/>
              <w:jc w:val="center"/>
              <w:textAlignment w:val="auto"/>
              <w:rPr>
                <w:rFonts w:hint="eastAsia" w:ascii="黑体" w:hAnsi="黑体" w:eastAsia="黑体" w:cs="黑体"/>
                <w:snapToGrid/>
                <w:kern w:val="2"/>
                <w:sz w:val="24"/>
                <w:szCs w:val="24"/>
              </w:rPr>
            </w:pPr>
            <w:r>
              <w:rPr>
                <w:rFonts w:hint="eastAsia" w:ascii="黑体" w:hAnsi="黑体" w:eastAsia="黑体" w:cs="黑体"/>
                <w:snapToGrid/>
                <w:kern w:val="2"/>
                <w:sz w:val="24"/>
                <w:szCs w:val="24"/>
              </w:rPr>
              <w:t>是否符合</w:t>
            </w:r>
          </w:p>
        </w:tc>
        <w:tc>
          <w:tcPr>
            <w:tcW w:w="4281" w:type="dxa"/>
            <w:noWrap w:val="0"/>
            <w:vAlign w:val="center"/>
          </w:tcPr>
          <w:p>
            <w:pPr>
              <w:widowControl w:val="0"/>
              <w:kinsoku/>
              <w:autoSpaceDE/>
              <w:autoSpaceDN/>
              <w:adjustRightInd/>
              <w:snapToGrid/>
              <w:jc w:val="center"/>
              <w:textAlignment w:val="auto"/>
              <w:rPr>
                <w:rFonts w:hint="eastAsia" w:ascii="黑体" w:hAnsi="黑体" w:eastAsia="黑体" w:cs="黑体"/>
                <w:snapToGrid/>
                <w:kern w:val="2"/>
                <w:sz w:val="24"/>
                <w:szCs w:val="24"/>
              </w:rPr>
            </w:pPr>
            <w:r>
              <w:rPr>
                <w:rFonts w:hint="eastAsia" w:ascii="黑体" w:hAnsi="黑体" w:eastAsia="黑体" w:cs="黑体"/>
                <w:snapToGrid/>
                <w:kern w:val="2"/>
                <w:sz w:val="24"/>
                <w:szCs w:val="24"/>
              </w:rPr>
              <w:t>符合性说明及证明材料索引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810" w:hRule="atLeast"/>
          <w:jc w:val="center"/>
        </w:trPr>
        <w:tc>
          <w:tcPr>
            <w:tcW w:w="1746" w:type="dxa"/>
            <w:vMerge w:val="restart"/>
            <w:noWrap w:val="0"/>
            <w:vAlign w:val="center"/>
          </w:tcPr>
          <w:p>
            <w:pPr>
              <w:widowControl w:val="0"/>
              <w:kinsoku/>
              <w:autoSpaceDE/>
              <w:autoSpaceDN/>
              <w:adjustRightInd/>
              <w:snapToGrid/>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基础合规性与相关方要求</w:t>
            </w:r>
          </w:p>
        </w:tc>
        <w:tc>
          <w:tcPr>
            <w:tcW w:w="6689" w:type="dxa"/>
            <w:noWrap w:val="0"/>
            <w:vAlign w:val="center"/>
          </w:tcPr>
          <w:p>
            <w:pPr>
              <w:widowControl w:val="0"/>
              <w:kinsoku/>
              <w:autoSpaceDE/>
              <w:autoSpaceDN/>
              <w:adjustRightInd/>
              <w:snapToGrid/>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绿色工厂应依法设立，在建设和生产过程中应遵守有关法律、法规、政策和标准。</w:t>
            </w:r>
          </w:p>
        </w:tc>
        <w:tc>
          <w:tcPr>
            <w:tcW w:w="1392" w:type="dxa"/>
            <w:noWrap w:val="0"/>
            <w:vAlign w:val="center"/>
          </w:tcPr>
          <w:p>
            <w:pPr>
              <w:widowControl w:val="0"/>
              <w:kinsoku/>
              <w:autoSpaceDE/>
              <w:autoSpaceDN/>
              <w:adjustRightInd/>
              <w:snapToGrid/>
              <w:jc w:val="both"/>
              <w:textAlignment w:val="auto"/>
              <w:rPr>
                <w:rFonts w:ascii="Times New Roman" w:hAnsi="Times New Roman" w:eastAsia="仿宋_GB2312" w:cs="Times New Roman"/>
                <w:snapToGrid/>
                <w:kern w:val="2"/>
                <w:sz w:val="24"/>
                <w:szCs w:val="24"/>
              </w:rPr>
            </w:pPr>
          </w:p>
        </w:tc>
        <w:tc>
          <w:tcPr>
            <w:tcW w:w="4281" w:type="dxa"/>
            <w:noWrap w:val="0"/>
            <w:vAlign w:val="center"/>
          </w:tcPr>
          <w:p>
            <w:pPr>
              <w:widowControl w:val="0"/>
              <w:kinsoku/>
              <w:autoSpaceDE/>
              <w:autoSpaceDN/>
              <w:adjustRightInd/>
              <w:snapToGrid/>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745" w:hRule="atLeast"/>
          <w:jc w:val="center"/>
        </w:trPr>
        <w:tc>
          <w:tcPr>
            <w:tcW w:w="1746" w:type="dxa"/>
            <w:vMerge w:val="continue"/>
            <w:noWrap w:val="0"/>
            <w:vAlign w:val="center"/>
          </w:tcPr>
          <w:p>
            <w:pPr>
              <w:widowControl w:val="0"/>
              <w:kinsoku/>
              <w:autoSpaceDE/>
              <w:autoSpaceDN/>
              <w:adjustRightInd/>
              <w:snapToGrid/>
              <w:jc w:val="both"/>
              <w:textAlignment w:val="auto"/>
              <w:rPr>
                <w:rFonts w:ascii="Times New Roman" w:hAnsi="Times New Roman" w:eastAsia="仿宋_GB2312" w:cs="Times New Roman"/>
                <w:snapToGrid/>
                <w:kern w:val="2"/>
                <w:sz w:val="24"/>
                <w:szCs w:val="24"/>
              </w:rPr>
            </w:pPr>
          </w:p>
        </w:tc>
        <w:tc>
          <w:tcPr>
            <w:tcW w:w="6689" w:type="dxa"/>
            <w:noWrap w:val="0"/>
            <w:vAlign w:val="center"/>
          </w:tcPr>
          <w:p>
            <w:pPr>
              <w:widowControl w:val="0"/>
              <w:kinsoku/>
              <w:autoSpaceDE/>
              <w:autoSpaceDN/>
              <w:adjustRightInd/>
              <w:snapToGrid/>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无较大及以上安全、环保、质量等事故。</w:t>
            </w:r>
          </w:p>
        </w:tc>
        <w:tc>
          <w:tcPr>
            <w:tcW w:w="1392" w:type="dxa"/>
            <w:noWrap w:val="0"/>
            <w:vAlign w:val="center"/>
          </w:tcPr>
          <w:p>
            <w:pPr>
              <w:widowControl w:val="0"/>
              <w:kinsoku/>
              <w:autoSpaceDE/>
              <w:autoSpaceDN/>
              <w:adjustRightInd/>
              <w:snapToGrid/>
              <w:jc w:val="both"/>
              <w:textAlignment w:val="auto"/>
              <w:rPr>
                <w:rFonts w:ascii="Times New Roman" w:hAnsi="Times New Roman" w:eastAsia="仿宋_GB2312" w:cs="Times New Roman"/>
                <w:snapToGrid/>
                <w:kern w:val="2"/>
                <w:sz w:val="24"/>
                <w:szCs w:val="24"/>
              </w:rPr>
            </w:pPr>
          </w:p>
        </w:tc>
        <w:tc>
          <w:tcPr>
            <w:tcW w:w="4281" w:type="dxa"/>
            <w:noWrap w:val="0"/>
            <w:vAlign w:val="center"/>
          </w:tcPr>
          <w:p>
            <w:pPr>
              <w:widowControl w:val="0"/>
              <w:kinsoku/>
              <w:autoSpaceDE/>
              <w:autoSpaceDN/>
              <w:adjustRightInd/>
              <w:snapToGrid/>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80" w:hRule="atLeast"/>
          <w:jc w:val="center"/>
        </w:trPr>
        <w:tc>
          <w:tcPr>
            <w:tcW w:w="1746" w:type="dxa"/>
            <w:vMerge w:val="continue"/>
            <w:noWrap w:val="0"/>
            <w:vAlign w:val="center"/>
          </w:tcPr>
          <w:p>
            <w:pPr>
              <w:widowControl w:val="0"/>
              <w:kinsoku/>
              <w:autoSpaceDE/>
              <w:autoSpaceDN/>
              <w:adjustRightInd/>
              <w:snapToGrid/>
              <w:jc w:val="both"/>
              <w:textAlignment w:val="auto"/>
              <w:rPr>
                <w:rFonts w:ascii="Times New Roman" w:hAnsi="Times New Roman" w:eastAsia="仿宋_GB2312" w:cs="Times New Roman"/>
                <w:snapToGrid/>
                <w:kern w:val="2"/>
                <w:sz w:val="24"/>
                <w:szCs w:val="24"/>
              </w:rPr>
            </w:pPr>
          </w:p>
        </w:tc>
        <w:tc>
          <w:tcPr>
            <w:tcW w:w="6689" w:type="dxa"/>
            <w:noWrap w:val="0"/>
            <w:vAlign w:val="center"/>
          </w:tcPr>
          <w:p>
            <w:pPr>
              <w:widowControl w:val="0"/>
              <w:kinsoku/>
              <w:autoSpaceDE/>
              <w:autoSpaceDN/>
              <w:adjustRightInd/>
              <w:snapToGrid/>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对利益相关方的环境要求做出承诺的，应同时满足有关承诺的要求。</w:t>
            </w:r>
          </w:p>
        </w:tc>
        <w:tc>
          <w:tcPr>
            <w:tcW w:w="1392" w:type="dxa"/>
            <w:noWrap w:val="0"/>
            <w:vAlign w:val="center"/>
          </w:tcPr>
          <w:p>
            <w:pPr>
              <w:widowControl w:val="0"/>
              <w:kinsoku/>
              <w:autoSpaceDE/>
              <w:autoSpaceDN/>
              <w:adjustRightInd/>
              <w:snapToGrid/>
              <w:jc w:val="both"/>
              <w:textAlignment w:val="auto"/>
              <w:rPr>
                <w:rFonts w:ascii="Times New Roman" w:hAnsi="Times New Roman" w:eastAsia="仿宋_GB2312" w:cs="Times New Roman"/>
                <w:snapToGrid/>
                <w:kern w:val="2"/>
                <w:sz w:val="24"/>
                <w:szCs w:val="24"/>
              </w:rPr>
            </w:pPr>
          </w:p>
        </w:tc>
        <w:tc>
          <w:tcPr>
            <w:tcW w:w="4281" w:type="dxa"/>
            <w:noWrap w:val="0"/>
            <w:vAlign w:val="center"/>
          </w:tcPr>
          <w:p>
            <w:pPr>
              <w:widowControl w:val="0"/>
              <w:kinsoku/>
              <w:autoSpaceDE/>
              <w:autoSpaceDN/>
              <w:adjustRightInd/>
              <w:snapToGrid/>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80" w:hRule="atLeast"/>
          <w:jc w:val="center"/>
        </w:trPr>
        <w:tc>
          <w:tcPr>
            <w:tcW w:w="1746" w:type="dxa"/>
            <w:vMerge w:val="restart"/>
            <w:noWrap w:val="0"/>
            <w:vAlign w:val="center"/>
          </w:tcPr>
          <w:p>
            <w:pPr>
              <w:widowControl w:val="0"/>
              <w:kinsoku/>
              <w:autoSpaceDE/>
              <w:autoSpaceDN/>
              <w:adjustRightInd/>
              <w:snapToGrid/>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基础管理职责——最高管理者</w:t>
            </w:r>
          </w:p>
        </w:tc>
        <w:tc>
          <w:tcPr>
            <w:tcW w:w="6689" w:type="dxa"/>
            <w:noWrap w:val="0"/>
            <w:vAlign w:val="center"/>
          </w:tcPr>
          <w:p>
            <w:pPr>
              <w:widowControl w:val="0"/>
              <w:kinsoku/>
              <w:autoSpaceDE/>
              <w:autoSpaceDN/>
              <w:adjustRightInd/>
              <w:snapToGrid/>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最高管理者在绿色工厂方面的领导作用和承诺满足GB/T 36132 中4.3.1 a</w:t>
            </w:r>
            <w:r>
              <w:rPr>
                <w:rFonts w:hint="eastAsia" w:ascii="Times New Roman" w:hAnsi="Times New Roman" w:eastAsia="仿宋_GB2312" w:cs="Times New Roman"/>
                <w:snapToGrid/>
                <w:kern w:val="2"/>
                <w:sz w:val="24"/>
                <w:szCs w:val="24"/>
              </w:rPr>
              <w:t>）</w:t>
            </w:r>
            <w:r>
              <w:rPr>
                <w:rFonts w:ascii="Times New Roman" w:hAnsi="Times New Roman" w:eastAsia="仿宋_GB2312" w:cs="Times New Roman"/>
                <w:snapToGrid/>
                <w:kern w:val="2"/>
                <w:sz w:val="24"/>
                <w:szCs w:val="24"/>
              </w:rPr>
              <w:t>的要求。</w:t>
            </w:r>
          </w:p>
        </w:tc>
        <w:tc>
          <w:tcPr>
            <w:tcW w:w="1392" w:type="dxa"/>
            <w:noWrap w:val="0"/>
            <w:vAlign w:val="center"/>
          </w:tcPr>
          <w:p>
            <w:pPr>
              <w:widowControl w:val="0"/>
              <w:kinsoku/>
              <w:autoSpaceDE/>
              <w:autoSpaceDN/>
              <w:adjustRightInd/>
              <w:snapToGrid/>
              <w:jc w:val="both"/>
              <w:textAlignment w:val="auto"/>
              <w:rPr>
                <w:rFonts w:ascii="Times New Roman" w:hAnsi="Times New Roman" w:eastAsia="仿宋_GB2312" w:cs="Times New Roman"/>
                <w:snapToGrid/>
                <w:kern w:val="2"/>
                <w:sz w:val="24"/>
                <w:szCs w:val="24"/>
              </w:rPr>
            </w:pPr>
          </w:p>
        </w:tc>
        <w:tc>
          <w:tcPr>
            <w:tcW w:w="4281" w:type="dxa"/>
            <w:noWrap w:val="0"/>
            <w:vAlign w:val="center"/>
          </w:tcPr>
          <w:p>
            <w:pPr>
              <w:widowControl w:val="0"/>
              <w:kinsoku/>
              <w:autoSpaceDE/>
              <w:autoSpaceDN/>
              <w:adjustRightInd/>
              <w:snapToGrid/>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80" w:hRule="atLeast"/>
          <w:jc w:val="center"/>
        </w:trPr>
        <w:tc>
          <w:tcPr>
            <w:tcW w:w="1746" w:type="dxa"/>
            <w:vMerge w:val="continue"/>
            <w:noWrap w:val="0"/>
            <w:vAlign w:val="center"/>
          </w:tcPr>
          <w:p>
            <w:pPr>
              <w:widowControl w:val="0"/>
              <w:kinsoku/>
              <w:autoSpaceDE/>
              <w:autoSpaceDN/>
              <w:adjustRightInd/>
              <w:snapToGrid/>
              <w:jc w:val="both"/>
              <w:textAlignment w:val="auto"/>
              <w:rPr>
                <w:rFonts w:ascii="Times New Roman" w:hAnsi="Times New Roman" w:eastAsia="仿宋_GB2312" w:cs="Times New Roman"/>
                <w:snapToGrid/>
                <w:kern w:val="2"/>
                <w:sz w:val="24"/>
                <w:szCs w:val="24"/>
              </w:rPr>
            </w:pPr>
          </w:p>
        </w:tc>
        <w:tc>
          <w:tcPr>
            <w:tcW w:w="6689" w:type="dxa"/>
            <w:noWrap w:val="0"/>
            <w:vAlign w:val="center"/>
          </w:tcPr>
          <w:p>
            <w:pPr>
              <w:widowControl w:val="0"/>
              <w:kinsoku/>
              <w:autoSpaceDE/>
              <w:autoSpaceDN/>
              <w:adjustRightInd/>
              <w:snapToGrid/>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最高管理者确保在工厂内部分配并沟通与绿色工厂相关角色的职责和权限，且满足GB/T 36132 中4.3.1 b</w:t>
            </w:r>
            <w:r>
              <w:rPr>
                <w:rFonts w:hint="eastAsia" w:ascii="Times New Roman" w:hAnsi="Times New Roman" w:eastAsia="仿宋_GB2312" w:cs="Times New Roman"/>
                <w:snapToGrid/>
                <w:kern w:val="2"/>
                <w:sz w:val="24"/>
                <w:szCs w:val="24"/>
              </w:rPr>
              <w:t>）</w:t>
            </w:r>
            <w:r>
              <w:rPr>
                <w:rFonts w:ascii="Times New Roman" w:hAnsi="Times New Roman" w:eastAsia="仿宋_GB2312" w:cs="Times New Roman"/>
                <w:snapToGrid/>
                <w:kern w:val="2"/>
                <w:sz w:val="24"/>
                <w:szCs w:val="24"/>
              </w:rPr>
              <w:t>的要求。</w:t>
            </w:r>
          </w:p>
        </w:tc>
        <w:tc>
          <w:tcPr>
            <w:tcW w:w="1392" w:type="dxa"/>
            <w:noWrap w:val="0"/>
            <w:vAlign w:val="center"/>
          </w:tcPr>
          <w:p>
            <w:pPr>
              <w:widowControl w:val="0"/>
              <w:kinsoku/>
              <w:autoSpaceDE/>
              <w:autoSpaceDN/>
              <w:adjustRightInd/>
              <w:snapToGrid/>
              <w:jc w:val="both"/>
              <w:textAlignment w:val="auto"/>
              <w:rPr>
                <w:rFonts w:ascii="Times New Roman" w:hAnsi="Times New Roman" w:eastAsia="仿宋_GB2312" w:cs="Times New Roman"/>
                <w:snapToGrid/>
                <w:kern w:val="2"/>
                <w:sz w:val="24"/>
                <w:szCs w:val="24"/>
              </w:rPr>
            </w:pPr>
          </w:p>
        </w:tc>
        <w:tc>
          <w:tcPr>
            <w:tcW w:w="4281" w:type="dxa"/>
            <w:noWrap w:val="0"/>
            <w:vAlign w:val="center"/>
          </w:tcPr>
          <w:p>
            <w:pPr>
              <w:widowControl w:val="0"/>
              <w:kinsoku/>
              <w:autoSpaceDE/>
              <w:autoSpaceDN/>
              <w:adjustRightInd/>
              <w:snapToGrid/>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80" w:hRule="atLeast"/>
          <w:jc w:val="center"/>
        </w:trPr>
        <w:tc>
          <w:tcPr>
            <w:tcW w:w="1746" w:type="dxa"/>
            <w:vMerge w:val="restart"/>
            <w:noWrap w:val="0"/>
            <w:vAlign w:val="center"/>
          </w:tcPr>
          <w:p>
            <w:pPr>
              <w:widowControl w:val="0"/>
              <w:kinsoku/>
              <w:autoSpaceDE/>
              <w:autoSpaceDN/>
              <w:adjustRightInd/>
              <w:snapToGrid/>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基础管理职责——工厂</w:t>
            </w:r>
          </w:p>
        </w:tc>
        <w:tc>
          <w:tcPr>
            <w:tcW w:w="6689" w:type="dxa"/>
            <w:noWrap w:val="0"/>
            <w:vAlign w:val="center"/>
          </w:tcPr>
          <w:p>
            <w:pPr>
              <w:widowControl w:val="0"/>
              <w:kinsoku/>
              <w:autoSpaceDE/>
              <w:autoSpaceDN/>
              <w:adjustRightInd/>
              <w:snapToGrid/>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应设有绿色工厂管理机构，负责有关绿色工厂的制度建设、实施、考核及奖励工作，建立目标责任制。</w:t>
            </w:r>
          </w:p>
        </w:tc>
        <w:tc>
          <w:tcPr>
            <w:tcW w:w="1392" w:type="dxa"/>
            <w:noWrap w:val="0"/>
            <w:vAlign w:val="center"/>
          </w:tcPr>
          <w:p>
            <w:pPr>
              <w:widowControl w:val="0"/>
              <w:kinsoku/>
              <w:autoSpaceDE/>
              <w:autoSpaceDN/>
              <w:adjustRightInd/>
              <w:snapToGrid/>
              <w:jc w:val="both"/>
              <w:textAlignment w:val="auto"/>
              <w:rPr>
                <w:rFonts w:ascii="Times New Roman" w:hAnsi="Times New Roman" w:eastAsia="仿宋_GB2312" w:cs="Times New Roman"/>
                <w:snapToGrid/>
                <w:kern w:val="2"/>
                <w:sz w:val="24"/>
                <w:szCs w:val="24"/>
              </w:rPr>
            </w:pPr>
          </w:p>
        </w:tc>
        <w:tc>
          <w:tcPr>
            <w:tcW w:w="4281" w:type="dxa"/>
            <w:noWrap w:val="0"/>
            <w:vAlign w:val="center"/>
          </w:tcPr>
          <w:p>
            <w:pPr>
              <w:widowControl w:val="0"/>
              <w:kinsoku/>
              <w:autoSpaceDE/>
              <w:autoSpaceDN/>
              <w:adjustRightInd/>
              <w:snapToGrid/>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80" w:hRule="atLeast"/>
          <w:jc w:val="center"/>
        </w:trPr>
        <w:tc>
          <w:tcPr>
            <w:tcW w:w="1746" w:type="dxa"/>
            <w:vMerge w:val="continue"/>
            <w:noWrap w:val="0"/>
            <w:vAlign w:val="center"/>
          </w:tcPr>
          <w:p>
            <w:pPr>
              <w:widowControl w:val="0"/>
              <w:kinsoku/>
              <w:autoSpaceDE/>
              <w:autoSpaceDN/>
              <w:adjustRightInd/>
              <w:snapToGrid/>
              <w:jc w:val="both"/>
              <w:textAlignment w:val="auto"/>
              <w:rPr>
                <w:rFonts w:ascii="Times New Roman" w:hAnsi="Times New Roman" w:eastAsia="仿宋_GB2312" w:cs="Times New Roman"/>
                <w:snapToGrid/>
                <w:kern w:val="2"/>
                <w:sz w:val="24"/>
                <w:szCs w:val="24"/>
              </w:rPr>
            </w:pPr>
          </w:p>
        </w:tc>
        <w:tc>
          <w:tcPr>
            <w:tcW w:w="6689" w:type="dxa"/>
            <w:noWrap w:val="0"/>
            <w:vAlign w:val="center"/>
          </w:tcPr>
          <w:p>
            <w:pPr>
              <w:widowControl w:val="0"/>
              <w:kinsoku/>
              <w:autoSpaceDE/>
              <w:autoSpaceDN/>
              <w:adjustRightInd/>
              <w:snapToGrid/>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应有开展绿色工厂的中长期规划及年度目标、指标和实施方案。可行时，指标应明确且可量化。</w:t>
            </w:r>
          </w:p>
        </w:tc>
        <w:tc>
          <w:tcPr>
            <w:tcW w:w="1392" w:type="dxa"/>
            <w:noWrap w:val="0"/>
            <w:vAlign w:val="center"/>
          </w:tcPr>
          <w:p>
            <w:pPr>
              <w:widowControl w:val="0"/>
              <w:kinsoku/>
              <w:autoSpaceDE/>
              <w:autoSpaceDN/>
              <w:adjustRightInd/>
              <w:snapToGrid/>
              <w:jc w:val="both"/>
              <w:textAlignment w:val="auto"/>
              <w:rPr>
                <w:rFonts w:ascii="Times New Roman" w:hAnsi="Times New Roman" w:eastAsia="仿宋_GB2312" w:cs="Times New Roman"/>
                <w:snapToGrid/>
                <w:kern w:val="2"/>
                <w:sz w:val="24"/>
                <w:szCs w:val="24"/>
              </w:rPr>
            </w:pPr>
          </w:p>
        </w:tc>
        <w:tc>
          <w:tcPr>
            <w:tcW w:w="4281" w:type="dxa"/>
            <w:noWrap w:val="0"/>
            <w:vAlign w:val="center"/>
          </w:tcPr>
          <w:p>
            <w:pPr>
              <w:widowControl w:val="0"/>
              <w:kinsoku/>
              <w:autoSpaceDE/>
              <w:autoSpaceDN/>
              <w:adjustRightInd/>
              <w:snapToGrid/>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80" w:hRule="atLeast"/>
          <w:jc w:val="center"/>
        </w:trPr>
        <w:tc>
          <w:tcPr>
            <w:tcW w:w="1746" w:type="dxa"/>
            <w:vMerge w:val="continue"/>
            <w:noWrap w:val="0"/>
            <w:vAlign w:val="center"/>
          </w:tcPr>
          <w:p>
            <w:pPr>
              <w:widowControl w:val="0"/>
              <w:kinsoku/>
              <w:autoSpaceDE/>
              <w:autoSpaceDN/>
              <w:adjustRightInd/>
              <w:snapToGrid/>
              <w:jc w:val="both"/>
              <w:textAlignment w:val="auto"/>
              <w:rPr>
                <w:rFonts w:ascii="Times New Roman" w:hAnsi="Times New Roman" w:eastAsia="仿宋_GB2312" w:cs="Times New Roman"/>
                <w:snapToGrid/>
                <w:kern w:val="2"/>
                <w:sz w:val="24"/>
                <w:szCs w:val="24"/>
              </w:rPr>
            </w:pPr>
          </w:p>
        </w:tc>
        <w:tc>
          <w:tcPr>
            <w:tcW w:w="6689" w:type="dxa"/>
            <w:noWrap w:val="0"/>
            <w:vAlign w:val="center"/>
          </w:tcPr>
          <w:p>
            <w:pPr>
              <w:widowControl w:val="0"/>
              <w:kinsoku/>
              <w:autoSpaceDE/>
              <w:autoSpaceDN/>
              <w:adjustRightInd/>
              <w:snapToGrid/>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应传播绿色制造的概念和知识，定期为员工提供绿色制造相关知识的教育、培训，并对教育和培训的结果进行考评。</w:t>
            </w:r>
          </w:p>
        </w:tc>
        <w:tc>
          <w:tcPr>
            <w:tcW w:w="1392" w:type="dxa"/>
            <w:noWrap w:val="0"/>
            <w:vAlign w:val="center"/>
          </w:tcPr>
          <w:p>
            <w:pPr>
              <w:widowControl w:val="0"/>
              <w:kinsoku/>
              <w:autoSpaceDE/>
              <w:autoSpaceDN/>
              <w:adjustRightInd/>
              <w:snapToGrid/>
              <w:jc w:val="both"/>
              <w:textAlignment w:val="auto"/>
              <w:rPr>
                <w:rFonts w:ascii="Times New Roman" w:hAnsi="Times New Roman" w:eastAsia="仿宋_GB2312" w:cs="Times New Roman"/>
                <w:snapToGrid/>
                <w:kern w:val="2"/>
                <w:sz w:val="24"/>
                <w:szCs w:val="24"/>
              </w:rPr>
            </w:pPr>
          </w:p>
        </w:tc>
        <w:tc>
          <w:tcPr>
            <w:tcW w:w="4281" w:type="dxa"/>
            <w:noWrap w:val="0"/>
            <w:vAlign w:val="center"/>
          </w:tcPr>
          <w:p>
            <w:pPr>
              <w:widowControl w:val="0"/>
              <w:kinsoku/>
              <w:autoSpaceDE/>
              <w:autoSpaceDN/>
              <w:adjustRightInd/>
              <w:snapToGrid/>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r>
    </w:tbl>
    <w:p>
      <w:pPr>
        <w:widowControl w:val="0"/>
        <w:kinsoku/>
        <w:autoSpaceDE/>
        <w:autoSpaceDN/>
        <w:adjustRightInd/>
        <w:snapToGrid/>
        <w:spacing w:line="560" w:lineRule="exact"/>
        <w:jc w:val="both"/>
        <w:textAlignment w:val="auto"/>
        <w:rPr>
          <w:rFonts w:ascii="Times New Roman" w:hAnsi="Times New Roman" w:eastAsia="仿宋_GB2312" w:cs="Times New Roman"/>
          <w:snapToGrid/>
          <w:kern w:val="2"/>
          <w:sz w:val="30"/>
          <w:szCs w:val="30"/>
        </w:rPr>
      </w:pPr>
      <w:r>
        <w:rPr>
          <w:rFonts w:ascii="Times New Roman" w:hAnsi="Times New Roman" w:eastAsia="仿宋_GB2312" w:cs="Times New Roman"/>
          <w:snapToGrid/>
          <w:kern w:val="2"/>
          <w:sz w:val="30"/>
          <w:szCs w:val="30"/>
        </w:rPr>
        <w:br w:type="page"/>
      </w:r>
      <w:r>
        <w:rPr>
          <w:rFonts w:ascii="Times New Roman" w:hAnsi="Times New Roman" w:eastAsia="黑体" w:cs="Times New Roman"/>
          <w:snapToGrid/>
          <w:kern w:val="2"/>
          <w:sz w:val="32"/>
          <w:szCs w:val="32"/>
        </w:rPr>
        <w:t>附表2.2</w:t>
      </w:r>
    </w:p>
    <w:p>
      <w:pPr>
        <w:kinsoku/>
        <w:autoSpaceDE/>
        <w:autoSpaceDN/>
        <w:adjustRightInd/>
        <w:snapToGrid/>
        <w:spacing w:line="560" w:lineRule="exact"/>
        <w:jc w:val="center"/>
        <w:textAlignment w:val="auto"/>
        <w:rPr>
          <w:rFonts w:ascii="Times New Roman" w:hAnsi="Times New Roman" w:eastAsia="方正小标宋简体" w:cs="Times New Roman"/>
          <w:bCs/>
          <w:snapToGrid/>
          <w:kern w:val="2"/>
          <w:sz w:val="40"/>
          <w:szCs w:val="40"/>
        </w:rPr>
      </w:pPr>
      <w:r>
        <w:rPr>
          <w:rFonts w:ascii="Times New Roman" w:hAnsi="Times New Roman" w:eastAsia="方正小标宋简体" w:cs="Times New Roman"/>
          <w:bCs/>
          <w:snapToGrid/>
          <w:kern w:val="2"/>
          <w:sz w:val="40"/>
          <w:szCs w:val="40"/>
        </w:rPr>
        <w:t>绿色工厂评价指标第三方评价表</w:t>
      </w:r>
    </w:p>
    <w:p>
      <w:pPr>
        <w:widowControl w:val="0"/>
        <w:kinsoku/>
        <w:snapToGrid/>
        <w:spacing w:line="560" w:lineRule="exact"/>
        <w:jc w:val="center"/>
        <w:textAlignment w:val="auto"/>
        <w:rPr>
          <w:rFonts w:ascii="Times New Roman" w:hAnsi="Times New Roman" w:eastAsia="仿宋_GB2312" w:cs="Times New Roman"/>
          <w:b/>
          <w:snapToGrid/>
          <w:sz w:val="30"/>
          <w:szCs w:val="30"/>
        </w:rPr>
      </w:pPr>
      <w:r>
        <w:rPr>
          <w:rFonts w:ascii="Times New Roman" w:hAnsi="Times New Roman" w:eastAsia="仿宋_GB2312" w:cs="Times New Roman"/>
          <w:b/>
          <w:snapToGrid/>
          <w:sz w:val="30"/>
          <w:szCs w:val="30"/>
        </w:rPr>
        <w:t>（20  年）</w:t>
      </w:r>
    </w:p>
    <w:tbl>
      <w:tblPr>
        <w:tblStyle w:val="3"/>
        <w:tblW w:w="150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757"/>
        <w:gridCol w:w="1223"/>
        <w:gridCol w:w="1223"/>
        <w:gridCol w:w="5343"/>
        <w:gridCol w:w="2593"/>
        <w:gridCol w:w="1373"/>
        <w:gridCol w:w="917"/>
        <w:gridCol w:w="766"/>
        <w:gridCol w:w="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blHeader/>
          <w:jc w:val="center"/>
        </w:trPr>
        <w:tc>
          <w:tcPr>
            <w:tcW w:w="704" w:type="dxa"/>
            <w:noWrap w:val="0"/>
            <w:vAlign w:val="center"/>
          </w:tcPr>
          <w:p>
            <w:pPr>
              <w:kinsoku/>
              <w:autoSpaceDE/>
              <w:autoSpaceDN/>
              <w:adjustRightInd/>
              <w:snapToGrid/>
              <w:spacing w:line="320" w:lineRule="exact"/>
              <w:jc w:val="center"/>
              <w:textAlignment w:val="auto"/>
              <w:rPr>
                <w:rFonts w:hint="eastAsia" w:ascii="黑体" w:hAnsi="黑体" w:eastAsia="黑体" w:cs="黑体"/>
                <w:snapToGrid/>
                <w:sz w:val="24"/>
                <w:szCs w:val="24"/>
              </w:rPr>
            </w:pPr>
            <w:r>
              <w:rPr>
                <w:rFonts w:hint="eastAsia" w:ascii="黑体" w:hAnsi="黑体" w:eastAsia="黑体" w:cs="黑体"/>
                <w:snapToGrid/>
                <w:kern w:val="2"/>
                <w:sz w:val="24"/>
                <w:szCs w:val="24"/>
              </w:rPr>
              <w:t>序号</w:t>
            </w:r>
          </w:p>
        </w:tc>
        <w:tc>
          <w:tcPr>
            <w:tcW w:w="1135" w:type="dxa"/>
            <w:noWrap w:val="0"/>
            <w:vAlign w:val="center"/>
          </w:tcPr>
          <w:p>
            <w:pPr>
              <w:widowControl w:val="0"/>
              <w:kinsoku/>
              <w:autoSpaceDE/>
              <w:autoSpaceDN/>
              <w:adjustRightInd/>
              <w:snapToGrid/>
              <w:spacing w:line="320" w:lineRule="exact"/>
              <w:jc w:val="center"/>
              <w:textAlignment w:val="auto"/>
              <w:rPr>
                <w:rFonts w:hint="eastAsia" w:ascii="黑体" w:hAnsi="黑体" w:eastAsia="黑体" w:cs="黑体"/>
                <w:snapToGrid/>
                <w:kern w:val="2"/>
                <w:sz w:val="24"/>
                <w:szCs w:val="24"/>
              </w:rPr>
            </w:pPr>
            <w:r>
              <w:rPr>
                <w:rFonts w:hint="eastAsia" w:ascii="黑体" w:hAnsi="黑体" w:eastAsia="黑体" w:cs="黑体"/>
                <w:snapToGrid/>
                <w:kern w:val="2"/>
                <w:sz w:val="24"/>
                <w:szCs w:val="24"/>
              </w:rPr>
              <w:t>一级</w:t>
            </w:r>
          </w:p>
          <w:p>
            <w:pPr>
              <w:widowControl w:val="0"/>
              <w:kinsoku/>
              <w:autoSpaceDE/>
              <w:autoSpaceDN/>
              <w:adjustRightInd/>
              <w:snapToGrid/>
              <w:spacing w:line="320" w:lineRule="exact"/>
              <w:jc w:val="center"/>
              <w:textAlignment w:val="auto"/>
              <w:rPr>
                <w:rFonts w:hint="eastAsia" w:ascii="黑体" w:hAnsi="黑体" w:eastAsia="黑体" w:cs="黑体"/>
                <w:snapToGrid/>
                <w:kern w:val="2"/>
                <w:sz w:val="24"/>
                <w:szCs w:val="24"/>
              </w:rPr>
            </w:pPr>
            <w:r>
              <w:rPr>
                <w:rFonts w:hint="eastAsia" w:ascii="黑体" w:hAnsi="黑体" w:eastAsia="黑体" w:cs="黑体"/>
                <w:snapToGrid/>
                <w:kern w:val="2"/>
                <w:sz w:val="24"/>
                <w:szCs w:val="24"/>
              </w:rPr>
              <w:t>指标</w:t>
            </w:r>
          </w:p>
        </w:tc>
        <w:tc>
          <w:tcPr>
            <w:tcW w:w="1135" w:type="dxa"/>
            <w:noWrap w:val="0"/>
            <w:vAlign w:val="center"/>
          </w:tcPr>
          <w:p>
            <w:pPr>
              <w:widowControl w:val="0"/>
              <w:kinsoku/>
              <w:autoSpaceDE/>
              <w:autoSpaceDN/>
              <w:adjustRightInd/>
              <w:snapToGrid/>
              <w:spacing w:line="320" w:lineRule="exact"/>
              <w:jc w:val="center"/>
              <w:textAlignment w:val="auto"/>
              <w:rPr>
                <w:rFonts w:hint="eastAsia" w:ascii="黑体" w:hAnsi="黑体" w:eastAsia="黑体" w:cs="黑体"/>
                <w:snapToGrid/>
                <w:kern w:val="2"/>
                <w:sz w:val="24"/>
                <w:szCs w:val="24"/>
              </w:rPr>
            </w:pPr>
            <w:r>
              <w:rPr>
                <w:rFonts w:hint="eastAsia" w:ascii="黑体" w:hAnsi="黑体" w:eastAsia="黑体" w:cs="黑体"/>
                <w:snapToGrid/>
                <w:kern w:val="2"/>
                <w:sz w:val="24"/>
                <w:szCs w:val="24"/>
              </w:rPr>
              <w:t>二级</w:t>
            </w:r>
          </w:p>
          <w:p>
            <w:pPr>
              <w:widowControl w:val="0"/>
              <w:kinsoku/>
              <w:autoSpaceDE/>
              <w:autoSpaceDN/>
              <w:adjustRightInd/>
              <w:snapToGrid/>
              <w:spacing w:line="320" w:lineRule="exact"/>
              <w:jc w:val="center"/>
              <w:textAlignment w:val="auto"/>
              <w:rPr>
                <w:rFonts w:hint="eastAsia" w:ascii="黑体" w:hAnsi="黑体" w:eastAsia="黑体" w:cs="黑体"/>
                <w:snapToGrid/>
                <w:kern w:val="2"/>
                <w:sz w:val="24"/>
                <w:szCs w:val="24"/>
              </w:rPr>
            </w:pPr>
            <w:r>
              <w:rPr>
                <w:rFonts w:hint="eastAsia" w:ascii="黑体" w:hAnsi="黑体" w:eastAsia="黑体" w:cs="黑体"/>
                <w:snapToGrid/>
                <w:kern w:val="2"/>
                <w:sz w:val="24"/>
                <w:szCs w:val="24"/>
              </w:rPr>
              <w:t>指标</w:t>
            </w:r>
          </w:p>
        </w:tc>
        <w:tc>
          <w:tcPr>
            <w:tcW w:w="4960" w:type="dxa"/>
            <w:noWrap w:val="0"/>
            <w:vAlign w:val="center"/>
          </w:tcPr>
          <w:p>
            <w:pPr>
              <w:widowControl w:val="0"/>
              <w:kinsoku/>
              <w:autoSpaceDE/>
              <w:autoSpaceDN/>
              <w:adjustRightInd/>
              <w:snapToGrid/>
              <w:spacing w:line="320" w:lineRule="exact"/>
              <w:jc w:val="center"/>
              <w:textAlignment w:val="auto"/>
              <w:rPr>
                <w:rFonts w:hint="eastAsia" w:ascii="黑体" w:hAnsi="黑体" w:eastAsia="黑体" w:cs="黑体"/>
                <w:snapToGrid/>
                <w:kern w:val="2"/>
                <w:sz w:val="24"/>
                <w:szCs w:val="24"/>
              </w:rPr>
            </w:pPr>
            <w:r>
              <w:rPr>
                <w:rFonts w:hint="eastAsia" w:ascii="黑体" w:hAnsi="黑体" w:eastAsia="黑体" w:cs="黑体"/>
                <w:snapToGrid/>
                <w:kern w:val="2"/>
                <w:sz w:val="24"/>
                <w:szCs w:val="24"/>
              </w:rPr>
              <w:t>具体评价要求</w:t>
            </w:r>
          </w:p>
        </w:tc>
        <w:tc>
          <w:tcPr>
            <w:tcW w:w="2407" w:type="dxa"/>
            <w:noWrap w:val="0"/>
            <w:vAlign w:val="center"/>
          </w:tcPr>
          <w:p>
            <w:pPr>
              <w:widowControl w:val="0"/>
              <w:kinsoku/>
              <w:autoSpaceDE/>
              <w:autoSpaceDN/>
              <w:adjustRightInd/>
              <w:snapToGrid/>
              <w:spacing w:line="320" w:lineRule="exact"/>
              <w:jc w:val="center"/>
              <w:textAlignment w:val="auto"/>
              <w:rPr>
                <w:rFonts w:hint="eastAsia" w:ascii="黑体" w:hAnsi="黑体" w:eastAsia="黑体" w:cs="黑体"/>
                <w:snapToGrid/>
                <w:kern w:val="2"/>
                <w:sz w:val="24"/>
                <w:szCs w:val="24"/>
              </w:rPr>
            </w:pPr>
            <w:r>
              <w:rPr>
                <w:rFonts w:hint="eastAsia" w:ascii="黑体" w:hAnsi="黑体" w:eastAsia="黑体" w:cs="黑体"/>
                <w:snapToGrid/>
                <w:kern w:val="2"/>
                <w:sz w:val="24"/>
                <w:szCs w:val="24"/>
              </w:rPr>
              <w:t>符合性说明及证明材料索引</w:t>
            </w:r>
          </w:p>
        </w:tc>
        <w:tc>
          <w:tcPr>
            <w:tcW w:w="1275" w:type="dxa"/>
            <w:noWrap w:val="0"/>
            <w:vAlign w:val="center"/>
          </w:tcPr>
          <w:p>
            <w:pPr>
              <w:widowControl w:val="0"/>
              <w:kinsoku/>
              <w:autoSpaceDE/>
              <w:autoSpaceDN/>
              <w:adjustRightInd/>
              <w:snapToGrid/>
              <w:spacing w:line="320" w:lineRule="exact"/>
              <w:jc w:val="center"/>
              <w:textAlignment w:val="auto"/>
              <w:rPr>
                <w:rFonts w:hint="eastAsia" w:ascii="黑体" w:hAnsi="黑体" w:eastAsia="黑体" w:cs="黑体"/>
                <w:snapToGrid/>
                <w:kern w:val="2"/>
                <w:sz w:val="24"/>
                <w:szCs w:val="24"/>
              </w:rPr>
            </w:pPr>
            <w:r>
              <w:rPr>
                <w:rFonts w:hint="eastAsia" w:ascii="黑体" w:hAnsi="黑体" w:eastAsia="黑体" w:cs="黑体"/>
                <w:snapToGrid/>
                <w:kern w:val="2"/>
                <w:sz w:val="24"/>
                <w:szCs w:val="24"/>
              </w:rPr>
              <w:t>要求类型</w:t>
            </w:r>
          </w:p>
        </w:tc>
        <w:tc>
          <w:tcPr>
            <w:tcW w:w="851" w:type="dxa"/>
            <w:noWrap w:val="0"/>
            <w:vAlign w:val="center"/>
          </w:tcPr>
          <w:p>
            <w:pPr>
              <w:widowControl w:val="0"/>
              <w:kinsoku/>
              <w:autoSpaceDE/>
              <w:autoSpaceDN/>
              <w:adjustRightInd/>
              <w:snapToGrid/>
              <w:spacing w:line="320" w:lineRule="exact"/>
              <w:jc w:val="center"/>
              <w:textAlignment w:val="auto"/>
              <w:rPr>
                <w:rFonts w:hint="eastAsia" w:ascii="黑体" w:hAnsi="黑体" w:eastAsia="黑体" w:cs="黑体"/>
                <w:snapToGrid/>
                <w:kern w:val="2"/>
                <w:sz w:val="24"/>
                <w:szCs w:val="24"/>
              </w:rPr>
            </w:pPr>
            <w:r>
              <w:rPr>
                <w:rFonts w:hint="eastAsia" w:ascii="黑体" w:hAnsi="黑体" w:eastAsia="黑体" w:cs="黑体"/>
                <w:snapToGrid/>
                <w:kern w:val="2"/>
                <w:sz w:val="24"/>
                <w:szCs w:val="24"/>
              </w:rPr>
              <w:t>分值</w:t>
            </w:r>
          </w:p>
        </w:tc>
        <w:tc>
          <w:tcPr>
            <w:tcW w:w="711" w:type="dxa"/>
            <w:noWrap w:val="0"/>
            <w:vAlign w:val="center"/>
          </w:tcPr>
          <w:p>
            <w:pPr>
              <w:widowControl w:val="0"/>
              <w:kinsoku/>
              <w:autoSpaceDE/>
              <w:autoSpaceDN/>
              <w:adjustRightInd/>
              <w:snapToGrid/>
              <w:spacing w:line="320" w:lineRule="exact"/>
              <w:jc w:val="center"/>
              <w:textAlignment w:val="auto"/>
              <w:rPr>
                <w:rFonts w:hint="eastAsia" w:ascii="黑体" w:hAnsi="黑体" w:eastAsia="黑体" w:cs="黑体"/>
                <w:snapToGrid/>
                <w:kern w:val="2"/>
                <w:sz w:val="24"/>
                <w:szCs w:val="24"/>
              </w:rPr>
            </w:pPr>
            <w:r>
              <w:rPr>
                <w:rFonts w:hint="eastAsia" w:ascii="黑体" w:hAnsi="黑体" w:eastAsia="黑体" w:cs="黑体"/>
                <w:snapToGrid/>
                <w:kern w:val="2"/>
                <w:sz w:val="24"/>
                <w:szCs w:val="24"/>
              </w:rPr>
              <w:t>权重</w:t>
            </w:r>
          </w:p>
        </w:tc>
        <w:tc>
          <w:tcPr>
            <w:tcW w:w="770" w:type="dxa"/>
            <w:noWrap w:val="0"/>
            <w:vAlign w:val="center"/>
          </w:tcPr>
          <w:p>
            <w:pPr>
              <w:widowControl w:val="0"/>
              <w:kinsoku/>
              <w:autoSpaceDE/>
              <w:autoSpaceDN/>
              <w:adjustRightInd/>
              <w:snapToGrid/>
              <w:spacing w:line="320" w:lineRule="exact"/>
              <w:jc w:val="center"/>
              <w:textAlignment w:val="auto"/>
              <w:rPr>
                <w:rFonts w:hint="eastAsia" w:ascii="黑体" w:hAnsi="黑体" w:eastAsia="黑体" w:cs="黑体"/>
                <w:snapToGrid/>
                <w:kern w:val="2"/>
                <w:sz w:val="24"/>
                <w:szCs w:val="24"/>
              </w:rPr>
            </w:pPr>
            <w:r>
              <w:rPr>
                <w:rFonts w:hint="eastAsia" w:ascii="黑体" w:hAnsi="黑体" w:eastAsia="黑体" w:cs="黑体"/>
                <w:snapToGrid/>
                <w:kern w:val="2"/>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restart"/>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1</w:t>
            </w:r>
          </w:p>
        </w:tc>
        <w:tc>
          <w:tcPr>
            <w:tcW w:w="1135" w:type="dxa"/>
            <w:vMerge w:val="restart"/>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基础设施</w:t>
            </w:r>
          </w:p>
        </w:tc>
        <w:tc>
          <w:tcPr>
            <w:tcW w:w="1135" w:type="dxa"/>
            <w:vMerge w:val="restart"/>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建筑</w:t>
            </w:r>
          </w:p>
        </w:tc>
        <w:tc>
          <w:tcPr>
            <w:tcW w:w="4960" w:type="dxa"/>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工厂的建筑应满足国家或地方相关法律法规及标准的要求。</w:t>
            </w:r>
          </w:p>
        </w:tc>
        <w:tc>
          <w:tcPr>
            <w:tcW w:w="2407" w:type="dxa"/>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c>
          <w:tcPr>
            <w:tcW w:w="1275" w:type="dxa"/>
            <w:vMerge w:val="restart"/>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必选</w:t>
            </w:r>
          </w:p>
        </w:tc>
        <w:tc>
          <w:tcPr>
            <w:tcW w:w="851"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8</w:t>
            </w:r>
          </w:p>
        </w:tc>
        <w:tc>
          <w:tcPr>
            <w:tcW w:w="711" w:type="dxa"/>
            <w:vMerge w:val="restart"/>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20%</w:t>
            </w:r>
          </w:p>
        </w:tc>
        <w:tc>
          <w:tcPr>
            <w:tcW w:w="770" w:type="dxa"/>
            <w:noWrap w:val="0"/>
            <w:vAlign w:val="center"/>
          </w:tcPr>
          <w:p>
            <w:pPr>
              <w:widowControl w:val="0"/>
              <w:kinsoku/>
              <w:autoSpaceDE/>
              <w:autoSpaceDN/>
              <w:adjustRightInd/>
              <w:snapToGrid/>
              <w:spacing w:line="320" w:lineRule="exact"/>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4960" w:type="dxa"/>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新建、改建和扩建建筑时，应遵守国家“固定资产投资项目节能评估审查制度”、“三同时制度”、“工业项目建设用地控制指标”等产业政策和有关要求。</w:t>
            </w:r>
          </w:p>
        </w:tc>
        <w:tc>
          <w:tcPr>
            <w:tcW w:w="2407" w:type="dxa"/>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c>
          <w:tcPr>
            <w:tcW w:w="1275"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851"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6</w:t>
            </w:r>
          </w:p>
        </w:tc>
        <w:tc>
          <w:tcPr>
            <w:tcW w:w="711"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770" w:type="dxa"/>
            <w:noWrap w:val="0"/>
            <w:vAlign w:val="center"/>
          </w:tcPr>
          <w:p>
            <w:pPr>
              <w:widowControl w:val="0"/>
              <w:kinsoku/>
              <w:autoSpaceDE/>
              <w:autoSpaceDN/>
              <w:adjustRightInd/>
              <w:snapToGrid/>
              <w:spacing w:line="320" w:lineRule="exact"/>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4960" w:type="dxa"/>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厂房内部装饰装修材料中醛、苯、氨、氡等有害物质应符合国家和地方法律、标准要求。</w:t>
            </w:r>
          </w:p>
        </w:tc>
        <w:tc>
          <w:tcPr>
            <w:tcW w:w="2407" w:type="dxa"/>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c>
          <w:tcPr>
            <w:tcW w:w="1275"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851"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3</w:t>
            </w:r>
          </w:p>
        </w:tc>
        <w:tc>
          <w:tcPr>
            <w:tcW w:w="711"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770" w:type="dxa"/>
            <w:noWrap w:val="0"/>
            <w:vAlign w:val="center"/>
          </w:tcPr>
          <w:p>
            <w:pPr>
              <w:widowControl w:val="0"/>
              <w:kinsoku/>
              <w:autoSpaceDE/>
              <w:autoSpaceDN/>
              <w:adjustRightInd/>
              <w:snapToGrid/>
              <w:spacing w:line="320" w:lineRule="exact"/>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4960" w:type="dxa"/>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危险品仓库、有毒有害操作间、废弃物处理间等产生污染物的房间应独立设置。</w:t>
            </w:r>
          </w:p>
        </w:tc>
        <w:tc>
          <w:tcPr>
            <w:tcW w:w="2407" w:type="dxa"/>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c>
          <w:tcPr>
            <w:tcW w:w="1275"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851"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3</w:t>
            </w:r>
          </w:p>
        </w:tc>
        <w:tc>
          <w:tcPr>
            <w:tcW w:w="711"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770" w:type="dxa"/>
            <w:noWrap w:val="0"/>
            <w:vAlign w:val="center"/>
          </w:tcPr>
          <w:p>
            <w:pPr>
              <w:widowControl w:val="0"/>
              <w:kinsoku/>
              <w:autoSpaceDE/>
              <w:autoSpaceDN/>
              <w:adjustRightInd/>
              <w:snapToGrid/>
              <w:spacing w:line="320" w:lineRule="exact"/>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4960" w:type="dxa"/>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建筑材料：（1）选用蕴能低、高性能、高耐久性和本地建材，减少建材在全生命周期中的能源消耗；（2）室内装饰装修材料满足国家标准GB 18580～18588和《建筑材料放射性核素限量》GB 6566的要求。</w:t>
            </w:r>
          </w:p>
        </w:tc>
        <w:tc>
          <w:tcPr>
            <w:tcW w:w="2407" w:type="dxa"/>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c>
          <w:tcPr>
            <w:tcW w:w="1275" w:type="dxa"/>
            <w:vMerge w:val="restart"/>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可选</w:t>
            </w:r>
          </w:p>
        </w:tc>
        <w:tc>
          <w:tcPr>
            <w:tcW w:w="851"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4</w:t>
            </w:r>
          </w:p>
        </w:tc>
        <w:tc>
          <w:tcPr>
            <w:tcW w:w="711"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770" w:type="dxa"/>
            <w:noWrap w:val="0"/>
            <w:vAlign w:val="center"/>
          </w:tcPr>
          <w:p>
            <w:pPr>
              <w:widowControl w:val="0"/>
              <w:kinsoku/>
              <w:autoSpaceDE/>
              <w:autoSpaceDN/>
              <w:adjustRightInd/>
              <w:snapToGrid/>
              <w:spacing w:line="320" w:lineRule="exact"/>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4960" w:type="dxa"/>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建筑结构：采用钢结构、砌体结构和木结构等资源消耗和环境影响小的建筑结构体系。</w:t>
            </w:r>
          </w:p>
        </w:tc>
        <w:tc>
          <w:tcPr>
            <w:tcW w:w="2407" w:type="dxa"/>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c>
          <w:tcPr>
            <w:tcW w:w="1275"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851"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4</w:t>
            </w:r>
          </w:p>
        </w:tc>
        <w:tc>
          <w:tcPr>
            <w:tcW w:w="711"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770" w:type="dxa"/>
            <w:noWrap w:val="0"/>
            <w:vAlign w:val="center"/>
          </w:tcPr>
          <w:p>
            <w:pPr>
              <w:widowControl w:val="0"/>
              <w:kinsoku/>
              <w:autoSpaceDE/>
              <w:autoSpaceDN/>
              <w:adjustRightInd/>
              <w:snapToGrid/>
              <w:spacing w:line="320" w:lineRule="exact"/>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4960" w:type="dxa"/>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绿化及场地：（1）场地内设置可遮荫避雨的步行连廊。（2）厂区绿化适宜，优先种植乡土植物，采用少维护、耐候性强的植物，减少日常维护的费用。（3）室外透水地面面积占室外总面积的比例不小于30%。</w:t>
            </w:r>
          </w:p>
        </w:tc>
        <w:tc>
          <w:tcPr>
            <w:tcW w:w="2407" w:type="dxa"/>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c>
          <w:tcPr>
            <w:tcW w:w="1275"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851"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4</w:t>
            </w:r>
          </w:p>
        </w:tc>
        <w:tc>
          <w:tcPr>
            <w:tcW w:w="711"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770" w:type="dxa"/>
            <w:noWrap w:val="0"/>
            <w:vAlign w:val="center"/>
          </w:tcPr>
          <w:p>
            <w:pPr>
              <w:widowControl w:val="0"/>
              <w:kinsoku/>
              <w:autoSpaceDE/>
              <w:autoSpaceDN/>
              <w:adjustRightInd/>
              <w:snapToGrid/>
              <w:spacing w:line="320" w:lineRule="exact"/>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4960" w:type="dxa"/>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再生资源及能源利用：（1）可再生能源的使用占建筑总能耗的比例大于10%；（2）采用节水器具和设备，节水率不低于10%。</w:t>
            </w:r>
          </w:p>
        </w:tc>
        <w:tc>
          <w:tcPr>
            <w:tcW w:w="2407" w:type="dxa"/>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c>
          <w:tcPr>
            <w:tcW w:w="1275"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851"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4</w:t>
            </w:r>
          </w:p>
        </w:tc>
        <w:tc>
          <w:tcPr>
            <w:tcW w:w="711"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770" w:type="dxa"/>
            <w:noWrap w:val="0"/>
            <w:vAlign w:val="center"/>
          </w:tcPr>
          <w:p>
            <w:pPr>
              <w:widowControl w:val="0"/>
              <w:kinsoku/>
              <w:autoSpaceDE/>
              <w:autoSpaceDN/>
              <w:adjustRightInd/>
              <w:snapToGrid/>
              <w:spacing w:line="320" w:lineRule="exact"/>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4960" w:type="dxa"/>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适用时，工厂的厂房采用多层建筑。</w:t>
            </w:r>
          </w:p>
        </w:tc>
        <w:tc>
          <w:tcPr>
            <w:tcW w:w="2407" w:type="dxa"/>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c>
          <w:tcPr>
            <w:tcW w:w="1275"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851"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4</w:t>
            </w:r>
          </w:p>
        </w:tc>
        <w:tc>
          <w:tcPr>
            <w:tcW w:w="711"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770" w:type="dxa"/>
            <w:noWrap w:val="0"/>
            <w:vAlign w:val="center"/>
          </w:tcPr>
          <w:p>
            <w:pPr>
              <w:widowControl w:val="0"/>
              <w:kinsoku/>
              <w:autoSpaceDE/>
              <w:autoSpaceDN/>
              <w:adjustRightInd/>
              <w:snapToGrid/>
              <w:spacing w:line="320" w:lineRule="exact"/>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restart"/>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照明</w:t>
            </w:r>
          </w:p>
        </w:tc>
        <w:tc>
          <w:tcPr>
            <w:tcW w:w="4960" w:type="dxa"/>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sz w:val="24"/>
                <w:szCs w:val="22"/>
              </w:rPr>
              <w:t>人工照明应符合GB 50034规定。</w:t>
            </w:r>
          </w:p>
        </w:tc>
        <w:tc>
          <w:tcPr>
            <w:tcW w:w="2407" w:type="dxa"/>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c>
          <w:tcPr>
            <w:tcW w:w="1275" w:type="dxa"/>
            <w:vMerge w:val="restart"/>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必选</w:t>
            </w:r>
          </w:p>
        </w:tc>
        <w:tc>
          <w:tcPr>
            <w:tcW w:w="851"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7</w:t>
            </w:r>
          </w:p>
        </w:tc>
        <w:tc>
          <w:tcPr>
            <w:tcW w:w="711"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770" w:type="dxa"/>
            <w:noWrap w:val="0"/>
            <w:vAlign w:val="center"/>
          </w:tcPr>
          <w:p>
            <w:pPr>
              <w:widowControl w:val="0"/>
              <w:kinsoku/>
              <w:autoSpaceDE/>
              <w:autoSpaceDN/>
              <w:adjustRightInd/>
              <w:snapToGrid/>
              <w:spacing w:line="320" w:lineRule="exact"/>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p>
        </w:tc>
        <w:tc>
          <w:tcPr>
            <w:tcW w:w="4960" w:type="dxa"/>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sz w:val="24"/>
                <w:szCs w:val="22"/>
              </w:rPr>
              <w:t>不同场所的照明应进行分级设计。</w:t>
            </w:r>
          </w:p>
        </w:tc>
        <w:tc>
          <w:tcPr>
            <w:tcW w:w="2407" w:type="dxa"/>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c>
          <w:tcPr>
            <w:tcW w:w="1275" w:type="dxa"/>
            <w:vMerge w:val="continue"/>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p>
        </w:tc>
        <w:tc>
          <w:tcPr>
            <w:tcW w:w="851"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3</w:t>
            </w:r>
          </w:p>
        </w:tc>
        <w:tc>
          <w:tcPr>
            <w:tcW w:w="711"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770" w:type="dxa"/>
            <w:noWrap w:val="0"/>
            <w:vAlign w:val="center"/>
          </w:tcPr>
          <w:p>
            <w:pPr>
              <w:widowControl w:val="0"/>
              <w:kinsoku/>
              <w:autoSpaceDE/>
              <w:autoSpaceDN/>
              <w:adjustRightInd/>
              <w:snapToGrid/>
              <w:spacing w:line="320" w:lineRule="exact"/>
              <w:textAlignment w:val="auto"/>
              <w:rPr>
                <w:rFonts w:ascii="Times New Roman" w:hAnsi="Times New Roman" w:eastAsia="仿宋_GB2312" w:cs="Times New Roman"/>
                <w:snapToGrid/>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p>
        </w:tc>
        <w:tc>
          <w:tcPr>
            <w:tcW w:w="4960" w:type="dxa"/>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工厂厂区及各房间或场所的照明尽量利用自然光。</w:t>
            </w:r>
          </w:p>
        </w:tc>
        <w:tc>
          <w:tcPr>
            <w:tcW w:w="2407" w:type="dxa"/>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c>
          <w:tcPr>
            <w:tcW w:w="1275" w:type="dxa"/>
            <w:vMerge w:val="restart"/>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可选</w:t>
            </w:r>
          </w:p>
        </w:tc>
        <w:tc>
          <w:tcPr>
            <w:tcW w:w="851"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4</w:t>
            </w:r>
          </w:p>
        </w:tc>
        <w:tc>
          <w:tcPr>
            <w:tcW w:w="711"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770" w:type="dxa"/>
            <w:noWrap w:val="0"/>
            <w:vAlign w:val="center"/>
          </w:tcPr>
          <w:p>
            <w:pPr>
              <w:widowControl w:val="0"/>
              <w:kinsoku/>
              <w:autoSpaceDE/>
              <w:autoSpaceDN/>
              <w:adjustRightInd/>
              <w:snapToGrid/>
              <w:spacing w:line="320" w:lineRule="exact"/>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p>
        </w:tc>
        <w:tc>
          <w:tcPr>
            <w:tcW w:w="4960" w:type="dxa"/>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工艺适用时，节能灯等节能型照明设备的使用占比不低于50%。</w:t>
            </w:r>
          </w:p>
        </w:tc>
        <w:tc>
          <w:tcPr>
            <w:tcW w:w="2407" w:type="dxa"/>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c>
          <w:tcPr>
            <w:tcW w:w="1275"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851"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4</w:t>
            </w:r>
          </w:p>
        </w:tc>
        <w:tc>
          <w:tcPr>
            <w:tcW w:w="711"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770" w:type="dxa"/>
            <w:noWrap w:val="0"/>
            <w:vAlign w:val="center"/>
          </w:tcPr>
          <w:p>
            <w:pPr>
              <w:widowControl w:val="0"/>
              <w:kinsoku/>
              <w:autoSpaceDE/>
              <w:autoSpaceDN/>
              <w:adjustRightInd/>
              <w:snapToGrid/>
              <w:spacing w:line="320" w:lineRule="exact"/>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p>
        </w:tc>
        <w:tc>
          <w:tcPr>
            <w:tcW w:w="4960" w:type="dxa"/>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公共场所的照明采取分区、分组与定时自动调光等措施。</w:t>
            </w:r>
          </w:p>
        </w:tc>
        <w:tc>
          <w:tcPr>
            <w:tcW w:w="2407" w:type="dxa"/>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c>
          <w:tcPr>
            <w:tcW w:w="1275"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851"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4</w:t>
            </w:r>
          </w:p>
        </w:tc>
        <w:tc>
          <w:tcPr>
            <w:tcW w:w="711"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770" w:type="dxa"/>
            <w:noWrap w:val="0"/>
            <w:vAlign w:val="center"/>
          </w:tcPr>
          <w:p>
            <w:pPr>
              <w:widowControl w:val="0"/>
              <w:kinsoku/>
              <w:autoSpaceDE/>
              <w:autoSpaceDN/>
              <w:adjustRightInd/>
              <w:snapToGrid/>
              <w:spacing w:line="320" w:lineRule="exact"/>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restart"/>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设备</w:t>
            </w:r>
          </w:p>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设施</w:t>
            </w:r>
          </w:p>
        </w:tc>
        <w:tc>
          <w:tcPr>
            <w:tcW w:w="4960" w:type="dxa"/>
            <w:noWrap w:val="0"/>
            <w:vAlign w:val="center"/>
          </w:tcPr>
          <w:p>
            <w:pPr>
              <w:widowControl w:val="0"/>
              <w:kinsoku/>
              <w:snapToGrid/>
              <w:spacing w:line="32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sz w:val="24"/>
                <w:szCs w:val="24"/>
              </w:rPr>
              <w:t>工厂使用的专用设备应符合产业准入要求，降低能源与资源消耗，减少污染物排放。</w:t>
            </w:r>
          </w:p>
        </w:tc>
        <w:tc>
          <w:tcPr>
            <w:tcW w:w="2407" w:type="dxa"/>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c>
          <w:tcPr>
            <w:tcW w:w="1275" w:type="dxa"/>
            <w:vMerge w:val="restart"/>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必选</w:t>
            </w:r>
          </w:p>
        </w:tc>
        <w:tc>
          <w:tcPr>
            <w:tcW w:w="851"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5</w:t>
            </w:r>
          </w:p>
        </w:tc>
        <w:tc>
          <w:tcPr>
            <w:tcW w:w="711"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770" w:type="dxa"/>
            <w:noWrap w:val="0"/>
            <w:vAlign w:val="center"/>
          </w:tcPr>
          <w:p>
            <w:pPr>
              <w:widowControl w:val="0"/>
              <w:kinsoku/>
              <w:autoSpaceDE/>
              <w:autoSpaceDN/>
              <w:adjustRightInd/>
              <w:snapToGrid/>
              <w:spacing w:line="320" w:lineRule="exact"/>
              <w:textAlignment w:val="auto"/>
              <w:rPr>
                <w:rFonts w:ascii="Times New Roman" w:hAnsi="Times New Roman" w:eastAsia="仿宋_GB2312" w:cs="Times New Roman"/>
                <w:snapToGrid/>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4960" w:type="dxa"/>
            <w:noWrap w:val="0"/>
            <w:vAlign w:val="center"/>
          </w:tcPr>
          <w:p>
            <w:pPr>
              <w:widowControl w:val="0"/>
              <w:kinsoku/>
              <w:snapToGrid/>
              <w:spacing w:line="32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sz w:val="24"/>
                <w:szCs w:val="24"/>
              </w:rPr>
              <w:t>适用时，工厂使用的通用设备应达到相关标准中能效限定值的强制性要求。已明令禁止生产、使用的和能耗高、效率低的设备应限期淘汰更新。</w:t>
            </w:r>
          </w:p>
        </w:tc>
        <w:tc>
          <w:tcPr>
            <w:tcW w:w="2407" w:type="dxa"/>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c>
          <w:tcPr>
            <w:tcW w:w="1275"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851"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5</w:t>
            </w:r>
          </w:p>
        </w:tc>
        <w:tc>
          <w:tcPr>
            <w:tcW w:w="711"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770" w:type="dxa"/>
            <w:noWrap w:val="0"/>
            <w:vAlign w:val="center"/>
          </w:tcPr>
          <w:p>
            <w:pPr>
              <w:widowControl w:val="0"/>
              <w:kinsoku/>
              <w:autoSpaceDE/>
              <w:autoSpaceDN/>
              <w:adjustRightInd/>
              <w:snapToGrid/>
              <w:spacing w:line="320" w:lineRule="exact"/>
              <w:textAlignment w:val="auto"/>
              <w:rPr>
                <w:rFonts w:ascii="Times New Roman" w:hAnsi="Times New Roman" w:eastAsia="仿宋_GB2312" w:cs="Times New Roman"/>
                <w:snapToGrid/>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4960" w:type="dxa"/>
            <w:noWrap w:val="0"/>
            <w:vAlign w:val="center"/>
          </w:tcPr>
          <w:p>
            <w:pPr>
              <w:widowControl w:val="0"/>
              <w:kinsoku/>
              <w:snapToGrid/>
              <w:spacing w:line="32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sz w:val="24"/>
                <w:szCs w:val="24"/>
              </w:rPr>
              <w:t>工厂使用的通用设备或其系统的实际运行效率或主要运行参数应符合该设备经济运行的要求。</w:t>
            </w:r>
          </w:p>
        </w:tc>
        <w:tc>
          <w:tcPr>
            <w:tcW w:w="2407" w:type="dxa"/>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c>
          <w:tcPr>
            <w:tcW w:w="1275"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851"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5</w:t>
            </w:r>
          </w:p>
        </w:tc>
        <w:tc>
          <w:tcPr>
            <w:tcW w:w="711"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770" w:type="dxa"/>
            <w:noWrap w:val="0"/>
            <w:vAlign w:val="center"/>
          </w:tcPr>
          <w:p>
            <w:pPr>
              <w:widowControl w:val="0"/>
              <w:kinsoku/>
              <w:autoSpaceDE/>
              <w:autoSpaceDN/>
              <w:adjustRightInd/>
              <w:snapToGrid/>
              <w:spacing w:line="320" w:lineRule="exact"/>
              <w:textAlignment w:val="auto"/>
              <w:rPr>
                <w:rFonts w:ascii="Times New Roman" w:hAnsi="Times New Roman" w:eastAsia="仿宋_GB2312" w:cs="Times New Roman"/>
                <w:snapToGrid/>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4960" w:type="dxa"/>
            <w:noWrap w:val="0"/>
            <w:vAlign w:val="center"/>
          </w:tcPr>
          <w:p>
            <w:pPr>
              <w:pStyle w:val="5"/>
              <w:kinsoku/>
              <w:snapToGrid/>
              <w:spacing w:before="0" w:beforeAutospacing="0" w:after="0" w:afterAutospacing="0" w:line="320" w:lineRule="exact"/>
              <w:jc w:val="both"/>
              <w:textAlignment w:val="auto"/>
              <w:rPr>
                <w:rFonts w:ascii="Times New Roman" w:hAnsi="Times New Roman" w:eastAsia="仿宋_GB2312" w:cs="Times New Roman"/>
                <w:snapToGrid/>
                <w:szCs w:val="24"/>
              </w:rPr>
            </w:pPr>
            <w:r>
              <w:rPr>
                <w:rFonts w:ascii="Times New Roman" w:hAnsi="Times New Roman" w:eastAsia="仿宋_GB2312" w:cs="Times New Roman"/>
                <w:snapToGrid/>
              </w:rPr>
              <w:t>工厂应依据GB 17167、GB24789等要求配备、使用和管理能源、水以及其他资源的计量器具和装置。</w:t>
            </w:r>
          </w:p>
        </w:tc>
        <w:tc>
          <w:tcPr>
            <w:tcW w:w="2407" w:type="dxa"/>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c>
          <w:tcPr>
            <w:tcW w:w="1275"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851"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5</w:t>
            </w:r>
          </w:p>
        </w:tc>
        <w:tc>
          <w:tcPr>
            <w:tcW w:w="711"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770" w:type="dxa"/>
            <w:noWrap w:val="0"/>
            <w:vAlign w:val="center"/>
          </w:tcPr>
          <w:p>
            <w:pPr>
              <w:widowControl w:val="0"/>
              <w:kinsoku/>
              <w:autoSpaceDE/>
              <w:autoSpaceDN/>
              <w:adjustRightInd/>
              <w:snapToGrid/>
              <w:spacing w:line="320" w:lineRule="exact"/>
              <w:textAlignment w:val="auto"/>
              <w:rPr>
                <w:rFonts w:ascii="Times New Roman" w:hAnsi="Times New Roman" w:eastAsia="仿宋_GB2312" w:cs="Times New Roman"/>
                <w:snapToGrid/>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4960" w:type="dxa"/>
            <w:noWrap w:val="0"/>
            <w:vAlign w:val="center"/>
          </w:tcPr>
          <w:p>
            <w:pPr>
              <w:widowControl w:val="0"/>
              <w:kinsoku/>
              <w:snapToGrid/>
              <w:spacing w:line="32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sz w:val="24"/>
                <w:szCs w:val="24"/>
              </w:rPr>
              <w:t>能源及资源使用的类型不同时，应进行分类计量。工厂若具有以下设备，需满足分类计量的要求：（1）照明系统；（2）冷水机组、相关用能设备的能耗计量和控制；（3）室内用水、室外用水；（4）空气处理设备的流量和压力计量；（5）锅炉；（6）冷却塔。</w:t>
            </w:r>
          </w:p>
        </w:tc>
        <w:tc>
          <w:tcPr>
            <w:tcW w:w="2407" w:type="dxa"/>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c>
          <w:tcPr>
            <w:tcW w:w="1275"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851"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5</w:t>
            </w:r>
          </w:p>
        </w:tc>
        <w:tc>
          <w:tcPr>
            <w:tcW w:w="711"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770" w:type="dxa"/>
            <w:noWrap w:val="0"/>
            <w:vAlign w:val="center"/>
          </w:tcPr>
          <w:p>
            <w:pPr>
              <w:widowControl w:val="0"/>
              <w:kinsoku/>
              <w:autoSpaceDE/>
              <w:autoSpaceDN/>
              <w:adjustRightInd/>
              <w:snapToGrid/>
              <w:spacing w:line="320" w:lineRule="exact"/>
              <w:textAlignment w:val="auto"/>
              <w:rPr>
                <w:rFonts w:ascii="Times New Roman" w:hAnsi="Times New Roman" w:eastAsia="仿宋_GB2312" w:cs="Times New Roman"/>
                <w:snapToGrid/>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4960" w:type="dxa"/>
            <w:noWrap w:val="0"/>
            <w:vAlign w:val="center"/>
          </w:tcPr>
          <w:p>
            <w:pPr>
              <w:widowControl w:val="0"/>
              <w:kinsoku/>
              <w:snapToGrid/>
              <w:spacing w:line="32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sz w:val="24"/>
                <w:szCs w:val="24"/>
              </w:rPr>
              <w:t>必要时，工厂应投入适宜的污染物处理设备，以确保其污染物排放达到相关法律法规及标准要求。污染物处理设备的处理能力应与工厂生产排放相适应，设备应满足通用设备的节能方面的要求。</w:t>
            </w:r>
          </w:p>
        </w:tc>
        <w:tc>
          <w:tcPr>
            <w:tcW w:w="2407" w:type="dxa"/>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c>
          <w:tcPr>
            <w:tcW w:w="1275"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851"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5</w:t>
            </w:r>
          </w:p>
        </w:tc>
        <w:tc>
          <w:tcPr>
            <w:tcW w:w="711"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770" w:type="dxa"/>
            <w:noWrap w:val="0"/>
            <w:vAlign w:val="center"/>
          </w:tcPr>
          <w:p>
            <w:pPr>
              <w:widowControl w:val="0"/>
              <w:kinsoku/>
              <w:autoSpaceDE/>
              <w:autoSpaceDN/>
              <w:adjustRightInd/>
              <w:snapToGrid/>
              <w:spacing w:line="320" w:lineRule="exact"/>
              <w:textAlignment w:val="auto"/>
              <w:rPr>
                <w:rFonts w:ascii="Times New Roman" w:hAnsi="Times New Roman" w:eastAsia="仿宋_GB2312" w:cs="Times New Roman"/>
                <w:snapToGrid/>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4960" w:type="dxa"/>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工厂使用的通用用能设备采用了节能型产品或效率高、能耗低、水耗低、物耗低的产品。</w:t>
            </w:r>
          </w:p>
        </w:tc>
        <w:tc>
          <w:tcPr>
            <w:tcW w:w="2407" w:type="dxa"/>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c>
          <w:tcPr>
            <w:tcW w:w="1275"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可选</w:t>
            </w:r>
          </w:p>
        </w:tc>
        <w:tc>
          <w:tcPr>
            <w:tcW w:w="851"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8</w:t>
            </w:r>
          </w:p>
        </w:tc>
        <w:tc>
          <w:tcPr>
            <w:tcW w:w="711"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770" w:type="dxa"/>
            <w:noWrap w:val="0"/>
            <w:vAlign w:val="center"/>
          </w:tcPr>
          <w:p>
            <w:pPr>
              <w:widowControl w:val="0"/>
              <w:kinsoku/>
              <w:autoSpaceDE/>
              <w:autoSpaceDN/>
              <w:adjustRightInd/>
              <w:snapToGrid/>
              <w:spacing w:line="320" w:lineRule="exact"/>
              <w:textAlignment w:val="auto"/>
              <w:rPr>
                <w:rFonts w:ascii="Times New Roman" w:hAnsi="Times New Roman" w:eastAsia="仿宋_GB2312" w:cs="Times New Roman"/>
                <w:snapToGrid/>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restart"/>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2</w:t>
            </w:r>
          </w:p>
        </w:tc>
        <w:tc>
          <w:tcPr>
            <w:tcW w:w="1135" w:type="dxa"/>
            <w:vMerge w:val="restart"/>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管理体系</w:t>
            </w:r>
          </w:p>
        </w:tc>
        <w:tc>
          <w:tcPr>
            <w:tcW w:w="1135" w:type="dxa"/>
            <w:vMerge w:val="restart"/>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一般</w:t>
            </w:r>
          </w:p>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要求</w:t>
            </w:r>
          </w:p>
        </w:tc>
        <w:tc>
          <w:tcPr>
            <w:tcW w:w="4960" w:type="dxa"/>
            <w:noWrap w:val="0"/>
            <w:vAlign w:val="center"/>
          </w:tcPr>
          <w:p>
            <w:pPr>
              <w:widowControl w:val="0"/>
              <w:kinsoku/>
              <w:autoSpaceDE/>
              <w:autoSpaceDN/>
              <w:adjustRightInd/>
              <w:snapToGrid/>
              <w:spacing w:line="28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工厂建立、实施并保持满足GB/T 19001的要求的质量管理体系。</w:t>
            </w:r>
          </w:p>
        </w:tc>
        <w:tc>
          <w:tcPr>
            <w:tcW w:w="2407" w:type="dxa"/>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c>
          <w:tcPr>
            <w:tcW w:w="1275"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必选</w:t>
            </w:r>
          </w:p>
        </w:tc>
        <w:tc>
          <w:tcPr>
            <w:tcW w:w="851"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10</w:t>
            </w:r>
          </w:p>
        </w:tc>
        <w:tc>
          <w:tcPr>
            <w:tcW w:w="711" w:type="dxa"/>
            <w:vMerge w:val="restart"/>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15%</w:t>
            </w:r>
          </w:p>
        </w:tc>
        <w:tc>
          <w:tcPr>
            <w:tcW w:w="770" w:type="dxa"/>
            <w:noWrap w:val="0"/>
            <w:vAlign w:val="center"/>
          </w:tcPr>
          <w:p>
            <w:pPr>
              <w:widowControl w:val="0"/>
              <w:kinsoku/>
              <w:autoSpaceDE/>
              <w:autoSpaceDN/>
              <w:adjustRightInd/>
              <w:snapToGrid/>
              <w:spacing w:line="320" w:lineRule="exact"/>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4960" w:type="dxa"/>
            <w:noWrap w:val="0"/>
            <w:vAlign w:val="center"/>
          </w:tcPr>
          <w:p>
            <w:pPr>
              <w:widowControl w:val="0"/>
              <w:kinsoku/>
              <w:autoSpaceDE/>
              <w:autoSpaceDN/>
              <w:adjustRightInd/>
              <w:snapToGrid/>
              <w:spacing w:line="28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通过质量管理体系第三方认证。</w:t>
            </w:r>
          </w:p>
        </w:tc>
        <w:tc>
          <w:tcPr>
            <w:tcW w:w="2407" w:type="dxa"/>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c>
          <w:tcPr>
            <w:tcW w:w="1275"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可选</w:t>
            </w:r>
          </w:p>
        </w:tc>
        <w:tc>
          <w:tcPr>
            <w:tcW w:w="851"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8</w:t>
            </w:r>
          </w:p>
        </w:tc>
        <w:tc>
          <w:tcPr>
            <w:tcW w:w="711"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770" w:type="dxa"/>
            <w:noWrap w:val="0"/>
            <w:vAlign w:val="center"/>
          </w:tcPr>
          <w:p>
            <w:pPr>
              <w:widowControl w:val="0"/>
              <w:kinsoku/>
              <w:autoSpaceDE/>
              <w:autoSpaceDN/>
              <w:adjustRightInd/>
              <w:snapToGrid/>
              <w:spacing w:line="320" w:lineRule="exact"/>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4960" w:type="dxa"/>
            <w:noWrap w:val="0"/>
            <w:vAlign w:val="center"/>
          </w:tcPr>
          <w:p>
            <w:pPr>
              <w:widowControl w:val="0"/>
              <w:kinsoku/>
              <w:autoSpaceDE/>
              <w:autoSpaceDN/>
              <w:adjustRightInd/>
              <w:snapToGrid/>
              <w:spacing w:line="28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工厂建立、实施并保持满足GB/T 28001要求的职业健康安全管理体系。</w:t>
            </w:r>
          </w:p>
        </w:tc>
        <w:tc>
          <w:tcPr>
            <w:tcW w:w="2407" w:type="dxa"/>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c>
          <w:tcPr>
            <w:tcW w:w="1275"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必选</w:t>
            </w:r>
          </w:p>
        </w:tc>
        <w:tc>
          <w:tcPr>
            <w:tcW w:w="851"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10</w:t>
            </w:r>
          </w:p>
        </w:tc>
        <w:tc>
          <w:tcPr>
            <w:tcW w:w="711"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770" w:type="dxa"/>
            <w:noWrap w:val="0"/>
            <w:vAlign w:val="center"/>
          </w:tcPr>
          <w:p>
            <w:pPr>
              <w:widowControl w:val="0"/>
              <w:kinsoku/>
              <w:autoSpaceDE/>
              <w:autoSpaceDN/>
              <w:adjustRightInd/>
              <w:snapToGrid/>
              <w:spacing w:line="320" w:lineRule="exact"/>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4960" w:type="dxa"/>
            <w:noWrap w:val="0"/>
            <w:vAlign w:val="center"/>
          </w:tcPr>
          <w:p>
            <w:pPr>
              <w:widowControl w:val="0"/>
              <w:kinsoku/>
              <w:autoSpaceDE/>
              <w:autoSpaceDN/>
              <w:adjustRightInd/>
              <w:snapToGrid/>
              <w:spacing w:line="28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通过职业健康安全管理体系第三方认证。</w:t>
            </w:r>
          </w:p>
        </w:tc>
        <w:tc>
          <w:tcPr>
            <w:tcW w:w="2407" w:type="dxa"/>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c>
          <w:tcPr>
            <w:tcW w:w="1275"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可选</w:t>
            </w:r>
          </w:p>
        </w:tc>
        <w:tc>
          <w:tcPr>
            <w:tcW w:w="851"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8</w:t>
            </w:r>
          </w:p>
        </w:tc>
        <w:tc>
          <w:tcPr>
            <w:tcW w:w="711"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770" w:type="dxa"/>
            <w:noWrap w:val="0"/>
            <w:vAlign w:val="center"/>
          </w:tcPr>
          <w:p>
            <w:pPr>
              <w:widowControl w:val="0"/>
              <w:kinsoku/>
              <w:autoSpaceDE/>
              <w:autoSpaceDN/>
              <w:adjustRightInd/>
              <w:snapToGrid/>
              <w:spacing w:line="320" w:lineRule="exact"/>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restart"/>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环境管理体系</w:t>
            </w:r>
          </w:p>
        </w:tc>
        <w:tc>
          <w:tcPr>
            <w:tcW w:w="4960" w:type="dxa"/>
            <w:noWrap w:val="0"/>
            <w:vAlign w:val="center"/>
          </w:tcPr>
          <w:p>
            <w:pPr>
              <w:widowControl w:val="0"/>
              <w:kinsoku/>
              <w:autoSpaceDE/>
              <w:autoSpaceDN/>
              <w:adjustRightInd/>
              <w:snapToGrid/>
              <w:spacing w:line="28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工厂建立、实施并保持满足GB/T 24001要求的环境管理体系。</w:t>
            </w:r>
          </w:p>
        </w:tc>
        <w:tc>
          <w:tcPr>
            <w:tcW w:w="2407" w:type="dxa"/>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c>
          <w:tcPr>
            <w:tcW w:w="1275"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必选</w:t>
            </w:r>
          </w:p>
        </w:tc>
        <w:tc>
          <w:tcPr>
            <w:tcW w:w="851"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20</w:t>
            </w:r>
          </w:p>
        </w:tc>
        <w:tc>
          <w:tcPr>
            <w:tcW w:w="711"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770" w:type="dxa"/>
            <w:noWrap w:val="0"/>
            <w:vAlign w:val="center"/>
          </w:tcPr>
          <w:p>
            <w:pPr>
              <w:widowControl w:val="0"/>
              <w:kinsoku/>
              <w:autoSpaceDE/>
              <w:autoSpaceDN/>
              <w:adjustRightInd/>
              <w:snapToGrid/>
              <w:spacing w:line="320" w:lineRule="exact"/>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p>
        </w:tc>
        <w:tc>
          <w:tcPr>
            <w:tcW w:w="4960" w:type="dxa"/>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通过环境管理体系第三方认证。</w:t>
            </w:r>
          </w:p>
        </w:tc>
        <w:tc>
          <w:tcPr>
            <w:tcW w:w="2407" w:type="dxa"/>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c>
          <w:tcPr>
            <w:tcW w:w="1275"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可选</w:t>
            </w:r>
          </w:p>
        </w:tc>
        <w:tc>
          <w:tcPr>
            <w:tcW w:w="851"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10</w:t>
            </w:r>
          </w:p>
        </w:tc>
        <w:tc>
          <w:tcPr>
            <w:tcW w:w="711"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770" w:type="dxa"/>
            <w:noWrap w:val="0"/>
            <w:vAlign w:val="center"/>
          </w:tcPr>
          <w:p>
            <w:pPr>
              <w:widowControl w:val="0"/>
              <w:kinsoku/>
              <w:autoSpaceDE/>
              <w:autoSpaceDN/>
              <w:adjustRightInd/>
              <w:snapToGrid/>
              <w:spacing w:line="320" w:lineRule="exact"/>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restart"/>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能源管理体系</w:t>
            </w:r>
          </w:p>
        </w:tc>
        <w:tc>
          <w:tcPr>
            <w:tcW w:w="4960" w:type="dxa"/>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工厂建立、实施并保持满足GB/T 23331要求的能源管理体系。</w:t>
            </w:r>
          </w:p>
        </w:tc>
        <w:tc>
          <w:tcPr>
            <w:tcW w:w="2407" w:type="dxa"/>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c>
          <w:tcPr>
            <w:tcW w:w="1275"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必选</w:t>
            </w:r>
          </w:p>
        </w:tc>
        <w:tc>
          <w:tcPr>
            <w:tcW w:w="851"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20</w:t>
            </w:r>
          </w:p>
        </w:tc>
        <w:tc>
          <w:tcPr>
            <w:tcW w:w="711"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770" w:type="dxa"/>
            <w:noWrap w:val="0"/>
            <w:vAlign w:val="center"/>
          </w:tcPr>
          <w:p>
            <w:pPr>
              <w:widowControl w:val="0"/>
              <w:kinsoku/>
              <w:autoSpaceDE/>
              <w:autoSpaceDN/>
              <w:adjustRightInd/>
              <w:snapToGrid/>
              <w:spacing w:line="320" w:lineRule="exact"/>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p>
        </w:tc>
        <w:tc>
          <w:tcPr>
            <w:tcW w:w="4960" w:type="dxa"/>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通过能源管理体系第三方认证。</w:t>
            </w:r>
          </w:p>
        </w:tc>
        <w:tc>
          <w:tcPr>
            <w:tcW w:w="2407" w:type="dxa"/>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c>
          <w:tcPr>
            <w:tcW w:w="1275"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可选</w:t>
            </w:r>
          </w:p>
        </w:tc>
        <w:tc>
          <w:tcPr>
            <w:tcW w:w="851"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10</w:t>
            </w:r>
          </w:p>
        </w:tc>
        <w:tc>
          <w:tcPr>
            <w:tcW w:w="711"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770" w:type="dxa"/>
            <w:noWrap w:val="0"/>
            <w:vAlign w:val="center"/>
          </w:tcPr>
          <w:p>
            <w:pPr>
              <w:widowControl w:val="0"/>
              <w:kinsoku/>
              <w:autoSpaceDE/>
              <w:autoSpaceDN/>
              <w:adjustRightInd/>
              <w:snapToGrid/>
              <w:spacing w:line="320" w:lineRule="exact"/>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社会</w:t>
            </w:r>
          </w:p>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责任</w:t>
            </w:r>
          </w:p>
        </w:tc>
        <w:tc>
          <w:tcPr>
            <w:tcW w:w="4960" w:type="dxa"/>
            <w:noWrap w:val="0"/>
            <w:vAlign w:val="center"/>
          </w:tcPr>
          <w:p>
            <w:pPr>
              <w:widowControl w:val="0"/>
              <w:kinsoku/>
              <w:autoSpaceDE/>
              <w:autoSpaceDN/>
              <w:adjustRightInd/>
              <w:snapToGrid/>
              <w:spacing w:line="28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每年发布社会责任报告，说明履行利益相关方责任的情况，特别是环境社会责任的履行情况，报告公开可获得。</w:t>
            </w:r>
          </w:p>
        </w:tc>
        <w:tc>
          <w:tcPr>
            <w:tcW w:w="2407" w:type="dxa"/>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c>
          <w:tcPr>
            <w:tcW w:w="1275"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可选</w:t>
            </w:r>
          </w:p>
        </w:tc>
        <w:tc>
          <w:tcPr>
            <w:tcW w:w="851"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4</w:t>
            </w:r>
          </w:p>
        </w:tc>
        <w:tc>
          <w:tcPr>
            <w:tcW w:w="711"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770" w:type="dxa"/>
            <w:noWrap w:val="0"/>
            <w:vAlign w:val="center"/>
          </w:tcPr>
          <w:p>
            <w:pPr>
              <w:widowControl w:val="0"/>
              <w:kinsoku/>
              <w:autoSpaceDE/>
              <w:autoSpaceDN/>
              <w:adjustRightInd/>
              <w:snapToGrid/>
              <w:spacing w:line="320" w:lineRule="exact"/>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restart"/>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3</w:t>
            </w:r>
          </w:p>
        </w:tc>
        <w:tc>
          <w:tcPr>
            <w:tcW w:w="1135" w:type="dxa"/>
            <w:vMerge w:val="restart"/>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能源资源投入</w:t>
            </w:r>
          </w:p>
        </w:tc>
        <w:tc>
          <w:tcPr>
            <w:tcW w:w="1135" w:type="dxa"/>
            <w:vMerge w:val="restart"/>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能源</w:t>
            </w:r>
          </w:p>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投入</w:t>
            </w:r>
          </w:p>
        </w:tc>
        <w:tc>
          <w:tcPr>
            <w:tcW w:w="4960" w:type="dxa"/>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2"/>
              </w:rPr>
              <w:t>工厂应优化用能结构，在保证安全、质量的前提下减少不可再生能源投入。</w:t>
            </w:r>
          </w:p>
        </w:tc>
        <w:tc>
          <w:tcPr>
            <w:tcW w:w="2407" w:type="dxa"/>
            <w:noWrap w:val="0"/>
            <w:vAlign w:val="center"/>
          </w:tcPr>
          <w:p>
            <w:pPr>
              <w:widowControl w:val="0"/>
              <w:kinsoku/>
              <w:autoSpaceDE/>
              <w:autoSpaceDN/>
              <w:adjustRightInd/>
              <w:snapToGrid/>
              <w:spacing w:line="320" w:lineRule="exact"/>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c>
          <w:tcPr>
            <w:tcW w:w="1275"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必选</w:t>
            </w:r>
          </w:p>
        </w:tc>
        <w:tc>
          <w:tcPr>
            <w:tcW w:w="851"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10</w:t>
            </w:r>
          </w:p>
        </w:tc>
        <w:tc>
          <w:tcPr>
            <w:tcW w:w="711" w:type="dxa"/>
            <w:vMerge w:val="restart"/>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15%</w:t>
            </w:r>
          </w:p>
        </w:tc>
        <w:tc>
          <w:tcPr>
            <w:tcW w:w="770" w:type="dxa"/>
            <w:noWrap w:val="0"/>
            <w:vAlign w:val="center"/>
          </w:tcPr>
          <w:p>
            <w:pPr>
              <w:widowControl w:val="0"/>
              <w:kinsoku/>
              <w:autoSpaceDE/>
              <w:autoSpaceDN/>
              <w:adjustRightInd/>
              <w:snapToGrid/>
              <w:spacing w:line="320" w:lineRule="exact"/>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p>
        </w:tc>
        <w:tc>
          <w:tcPr>
            <w:tcW w:w="4960" w:type="dxa"/>
            <w:noWrap w:val="0"/>
            <w:vAlign w:val="center"/>
          </w:tcPr>
          <w:p>
            <w:pPr>
              <w:widowControl w:val="0"/>
              <w:kinsoku/>
              <w:autoSpaceDE/>
              <w:autoSpaceDN/>
              <w:spacing w:line="32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sz w:val="24"/>
                <w:szCs w:val="24"/>
              </w:rPr>
              <w:t>建有能源管理中心。</w:t>
            </w:r>
          </w:p>
        </w:tc>
        <w:tc>
          <w:tcPr>
            <w:tcW w:w="2407" w:type="dxa"/>
            <w:noWrap w:val="0"/>
            <w:vAlign w:val="center"/>
          </w:tcPr>
          <w:p>
            <w:pPr>
              <w:widowControl w:val="0"/>
              <w:kinsoku/>
              <w:autoSpaceDE/>
              <w:autoSpaceDN/>
              <w:adjustRightInd/>
              <w:snapToGrid/>
              <w:spacing w:line="320" w:lineRule="exact"/>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c>
          <w:tcPr>
            <w:tcW w:w="1275" w:type="dxa"/>
            <w:vMerge w:val="restart"/>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可选</w:t>
            </w:r>
          </w:p>
        </w:tc>
        <w:tc>
          <w:tcPr>
            <w:tcW w:w="851"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8</w:t>
            </w:r>
          </w:p>
        </w:tc>
        <w:tc>
          <w:tcPr>
            <w:tcW w:w="711"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770" w:type="dxa"/>
            <w:noWrap w:val="0"/>
            <w:vAlign w:val="center"/>
          </w:tcPr>
          <w:p>
            <w:pPr>
              <w:widowControl w:val="0"/>
              <w:kinsoku/>
              <w:autoSpaceDE/>
              <w:autoSpaceDN/>
              <w:adjustRightInd/>
              <w:snapToGrid/>
              <w:spacing w:line="320" w:lineRule="exact"/>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p>
        </w:tc>
        <w:tc>
          <w:tcPr>
            <w:tcW w:w="4960" w:type="dxa"/>
            <w:noWrap w:val="0"/>
            <w:vAlign w:val="center"/>
          </w:tcPr>
          <w:p>
            <w:pPr>
              <w:widowControl w:val="0"/>
              <w:kinsoku/>
              <w:autoSpaceDE/>
              <w:autoSpaceDN/>
              <w:spacing w:line="32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sz w:val="24"/>
                <w:szCs w:val="24"/>
              </w:rPr>
              <w:t>建有厂区光伏电站、智能微电网。</w:t>
            </w:r>
          </w:p>
        </w:tc>
        <w:tc>
          <w:tcPr>
            <w:tcW w:w="2407" w:type="dxa"/>
            <w:noWrap w:val="0"/>
            <w:vAlign w:val="center"/>
          </w:tcPr>
          <w:p>
            <w:pPr>
              <w:widowControl w:val="0"/>
              <w:kinsoku/>
              <w:autoSpaceDE/>
              <w:autoSpaceDN/>
              <w:adjustRightInd/>
              <w:snapToGrid/>
              <w:spacing w:line="320" w:lineRule="exact"/>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c>
          <w:tcPr>
            <w:tcW w:w="1275"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851"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5</w:t>
            </w:r>
          </w:p>
        </w:tc>
        <w:tc>
          <w:tcPr>
            <w:tcW w:w="711"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770" w:type="dxa"/>
            <w:noWrap w:val="0"/>
            <w:vAlign w:val="center"/>
          </w:tcPr>
          <w:p>
            <w:pPr>
              <w:widowControl w:val="0"/>
              <w:kinsoku/>
              <w:autoSpaceDE/>
              <w:autoSpaceDN/>
              <w:adjustRightInd/>
              <w:snapToGrid/>
              <w:spacing w:line="320" w:lineRule="exact"/>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p>
        </w:tc>
        <w:tc>
          <w:tcPr>
            <w:tcW w:w="4960" w:type="dxa"/>
            <w:noWrap w:val="0"/>
            <w:vAlign w:val="center"/>
          </w:tcPr>
          <w:p>
            <w:pPr>
              <w:widowControl w:val="0"/>
              <w:kinsoku/>
              <w:autoSpaceDE/>
              <w:autoSpaceDN/>
              <w:spacing w:line="32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sz w:val="24"/>
                <w:szCs w:val="24"/>
              </w:rPr>
              <w:t>使用了低碳清洁的新能源。</w:t>
            </w:r>
          </w:p>
        </w:tc>
        <w:tc>
          <w:tcPr>
            <w:tcW w:w="2407" w:type="dxa"/>
            <w:noWrap w:val="0"/>
            <w:vAlign w:val="center"/>
          </w:tcPr>
          <w:p>
            <w:pPr>
              <w:widowControl w:val="0"/>
              <w:kinsoku/>
              <w:autoSpaceDE/>
              <w:autoSpaceDN/>
              <w:adjustRightInd/>
              <w:snapToGrid/>
              <w:spacing w:line="320" w:lineRule="exact"/>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c>
          <w:tcPr>
            <w:tcW w:w="1275"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851"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3</w:t>
            </w:r>
          </w:p>
        </w:tc>
        <w:tc>
          <w:tcPr>
            <w:tcW w:w="711"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770" w:type="dxa"/>
            <w:noWrap w:val="0"/>
            <w:vAlign w:val="center"/>
          </w:tcPr>
          <w:p>
            <w:pPr>
              <w:widowControl w:val="0"/>
              <w:kinsoku/>
              <w:autoSpaceDE/>
              <w:autoSpaceDN/>
              <w:adjustRightInd/>
              <w:snapToGrid/>
              <w:spacing w:line="320" w:lineRule="exact"/>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p>
        </w:tc>
        <w:tc>
          <w:tcPr>
            <w:tcW w:w="4960" w:type="dxa"/>
            <w:noWrap w:val="0"/>
            <w:vAlign w:val="center"/>
          </w:tcPr>
          <w:p>
            <w:pPr>
              <w:widowControl w:val="0"/>
              <w:kinsoku/>
              <w:autoSpaceDE/>
              <w:autoSpaceDN/>
              <w:spacing w:line="32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sz w:val="24"/>
                <w:szCs w:val="24"/>
              </w:rPr>
              <w:t>使用可再生能源代替不可再生能源。</w:t>
            </w:r>
          </w:p>
        </w:tc>
        <w:tc>
          <w:tcPr>
            <w:tcW w:w="2407" w:type="dxa"/>
            <w:noWrap w:val="0"/>
            <w:vAlign w:val="center"/>
          </w:tcPr>
          <w:p>
            <w:pPr>
              <w:widowControl w:val="0"/>
              <w:kinsoku/>
              <w:autoSpaceDE/>
              <w:autoSpaceDN/>
              <w:adjustRightInd/>
              <w:snapToGrid/>
              <w:spacing w:line="320" w:lineRule="exact"/>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c>
          <w:tcPr>
            <w:tcW w:w="1275"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851"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3</w:t>
            </w:r>
          </w:p>
        </w:tc>
        <w:tc>
          <w:tcPr>
            <w:tcW w:w="711"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770" w:type="dxa"/>
            <w:noWrap w:val="0"/>
            <w:vAlign w:val="center"/>
          </w:tcPr>
          <w:p>
            <w:pPr>
              <w:widowControl w:val="0"/>
              <w:kinsoku/>
              <w:autoSpaceDE/>
              <w:autoSpaceDN/>
              <w:adjustRightInd/>
              <w:snapToGrid/>
              <w:spacing w:line="320" w:lineRule="exact"/>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p>
        </w:tc>
        <w:tc>
          <w:tcPr>
            <w:tcW w:w="4960" w:type="dxa"/>
            <w:noWrap w:val="0"/>
            <w:vAlign w:val="center"/>
          </w:tcPr>
          <w:p>
            <w:pPr>
              <w:widowControl w:val="0"/>
              <w:kinsoku/>
              <w:autoSpaceDE/>
              <w:autoSpaceDN/>
              <w:spacing w:line="32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sz w:val="24"/>
                <w:szCs w:val="24"/>
              </w:rPr>
              <w:t>充分利用余热余压。</w:t>
            </w:r>
          </w:p>
        </w:tc>
        <w:tc>
          <w:tcPr>
            <w:tcW w:w="2407" w:type="dxa"/>
            <w:noWrap w:val="0"/>
            <w:vAlign w:val="center"/>
          </w:tcPr>
          <w:p>
            <w:pPr>
              <w:widowControl w:val="0"/>
              <w:kinsoku/>
              <w:autoSpaceDE/>
              <w:autoSpaceDN/>
              <w:adjustRightInd/>
              <w:snapToGrid/>
              <w:spacing w:line="320" w:lineRule="exact"/>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c>
          <w:tcPr>
            <w:tcW w:w="1275"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851"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3</w:t>
            </w:r>
          </w:p>
        </w:tc>
        <w:tc>
          <w:tcPr>
            <w:tcW w:w="711"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770" w:type="dxa"/>
            <w:noWrap w:val="0"/>
            <w:vAlign w:val="center"/>
          </w:tcPr>
          <w:p>
            <w:pPr>
              <w:widowControl w:val="0"/>
              <w:kinsoku/>
              <w:autoSpaceDE/>
              <w:autoSpaceDN/>
              <w:adjustRightInd/>
              <w:snapToGrid/>
              <w:spacing w:line="320" w:lineRule="exact"/>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restart"/>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资源</w:t>
            </w:r>
          </w:p>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投入</w:t>
            </w:r>
          </w:p>
        </w:tc>
        <w:tc>
          <w:tcPr>
            <w:tcW w:w="4960" w:type="dxa"/>
            <w:noWrap w:val="0"/>
            <w:vAlign w:val="center"/>
          </w:tcPr>
          <w:p>
            <w:pPr>
              <w:widowControl w:val="0"/>
              <w:kinsoku/>
              <w:autoSpaceDE/>
              <w:autoSpaceDN/>
              <w:spacing w:line="32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sz w:val="24"/>
                <w:szCs w:val="24"/>
              </w:rPr>
              <w:t>工厂应按照GB/T 7119的要求对其开展节水评价工作，且满足GB/T 18916（所有部分）中对应本行业的取水定额要求。</w:t>
            </w:r>
          </w:p>
        </w:tc>
        <w:tc>
          <w:tcPr>
            <w:tcW w:w="2407" w:type="dxa"/>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c>
          <w:tcPr>
            <w:tcW w:w="1275" w:type="dxa"/>
            <w:vMerge w:val="restart"/>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必选</w:t>
            </w:r>
          </w:p>
        </w:tc>
        <w:tc>
          <w:tcPr>
            <w:tcW w:w="851"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10</w:t>
            </w:r>
          </w:p>
        </w:tc>
        <w:tc>
          <w:tcPr>
            <w:tcW w:w="711"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770" w:type="dxa"/>
            <w:noWrap w:val="0"/>
            <w:vAlign w:val="center"/>
          </w:tcPr>
          <w:p>
            <w:pPr>
              <w:widowControl w:val="0"/>
              <w:kinsoku/>
              <w:autoSpaceDE/>
              <w:autoSpaceDN/>
              <w:adjustRightInd/>
              <w:snapToGrid/>
              <w:spacing w:line="320" w:lineRule="exact"/>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4960" w:type="dxa"/>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spacing w:val="-6"/>
                <w:sz w:val="24"/>
                <w:szCs w:val="22"/>
              </w:rPr>
              <w:t>工厂应减少材料、尤其是有害物质的使用，评估有害物质及化学品减量使用或替代的可行性。</w:t>
            </w:r>
          </w:p>
        </w:tc>
        <w:tc>
          <w:tcPr>
            <w:tcW w:w="2407" w:type="dxa"/>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c>
          <w:tcPr>
            <w:tcW w:w="1275" w:type="dxa"/>
            <w:vMerge w:val="continue"/>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p>
        </w:tc>
        <w:tc>
          <w:tcPr>
            <w:tcW w:w="851"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10</w:t>
            </w:r>
          </w:p>
        </w:tc>
        <w:tc>
          <w:tcPr>
            <w:tcW w:w="711"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770" w:type="dxa"/>
            <w:noWrap w:val="0"/>
            <w:vAlign w:val="center"/>
          </w:tcPr>
          <w:p>
            <w:pPr>
              <w:widowControl w:val="0"/>
              <w:kinsoku/>
              <w:autoSpaceDE/>
              <w:autoSpaceDN/>
              <w:adjustRightInd/>
              <w:snapToGrid/>
              <w:spacing w:line="320" w:lineRule="exact"/>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4960" w:type="dxa"/>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sz w:val="24"/>
                <w:szCs w:val="22"/>
              </w:rPr>
            </w:pPr>
            <w:r>
              <w:rPr>
                <w:rFonts w:ascii="Times New Roman" w:hAnsi="Times New Roman" w:eastAsia="仿宋_GB2312" w:cs="Times New Roman"/>
                <w:snapToGrid/>
                <w:sz w:val="24"/>
                <w:szCs w:val="24"/>
              </w:rPr>
              <w:t>工厂应按照GB/T 29115的要求对其原材料使用量的减少进行评价。</w:t>
            </w:r>
          </w:p>
        </w:tc>
        <w:tc>
          <w:tcPr>
            <w:tcW w:w="2407" w:type="dxa"/>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c>
          <w:tcPr>
            <w:tcW w:w="1275" w:type="dxa"/>
            <w:vMerge w:val="continue"/>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p>
        </w:tc>
        <w:tc>
          <w:tcPr>
            <w:tcW w:w="851"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10</w:t>
            </w:r>
          </w:p>
        </w:tc>
        <w:tc>
          <w:tcPr>
            <w:tcW w:w="711"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770" w:type="dxa"/>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4960" w:type="dxa"/>
            <w:noWrap w:val="0"/>
            <w:vAlign w:val="center"/>
          </w:tcPr>
          <w:p>
            <w:pPr>
              <w:widowControl w:val="0"/>
              <w:kinsoku/>
              <w:snapToGrid/>
              <w:spacing w:line="32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sz w:val="24"/>
                <w:szCs w:val="24"/>
              </w:rPr>
              <w:t>使用回收料、可回收材料替代原生材料、不可回收材料。</w:t>
            </w:r>
          </w:p>
        </w:tc>
        <w:tc>
          <w:tcPr>
            <w:tcW w:w="2407" w:type="dxa"/>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c>
          <w:tcPr>
            <w:tcW w:w="1275" w:type="dxa"/>
            <w:vMerge w:val="restart"/>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可选</w:t>
            </w:r>
          </w:p>
        </w:tc>
        <w:tc>
          <w:tcPr>
            <w:tcW w:w="851"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5</w:t>
            </w:r>
          </w:p>
        </w:tc>
        <w:tc>
          <w:tcPr>
            <w:tcW w:w="711"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770" w:type="dxa"/>
            <w:noWrap w:val="0"/>
            <w:vAlign w:val="center"/>
          </w:tcPr>
          <w:p>
            <w:pPr>
              <w:widowControl w:val="0"/>
              <w:kinsoku/>
              <w:autoSpaceDE/>
              <w:autoSpaceDN/>
              <w:adjustRightInd/>
              <w:snapToGrid/>
              <w:spacing w:line="320" w:lineRule="exact"/>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4960" w:type="dxa"/>
            <w:noWrap w:val="0"/>
            <w:vAlign w:val="center"/>
          </w:tcPr>
          <w:p>
            <w:pPr>
              <w:widowControl w:val="0"/>
              <w:kinsoku/>
              <w:autoSpaceDE/>
              <w:autoSpaceDN/>
              <w:spacing w:line="32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sz w:val="24"/>
                <w:szCs w:val="24"/>
              </w:rPr>
              <w:t>替代或减少全球增温潜势较高温室气体的使用。</w:t>
            </w:r>
          </w:p>
        </w:tc>
        <w:tc>
          <w:tcPr>
            <w:tcW w:w="2407" w:type="dxa"/>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c>
          <w:tcPr>
            <w:tcW w:w="1275" w:type="dxa"/>
            <w:vMerge w:val="continue"/>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p>
        </w:tc>
        <w:tc>
          <w:tcPr>
            <w:tcW w:w="851"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4</w:t>
            </w:r>
          </w:p>
        </w:tc>
        <w:tc>
          <w:tcPr>
            <w:tcW w:w="711"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770" w:type="dxa"/>
            <w:noWrap w:val="0"/>
            <w:vAlign w:val="center"/>
          </w:tcPr>
          <w:p>
            <w:pPr>
              <w:widowControl w:val="0"/>
              <w:kinsoku/>
              <w:autoSpaceDE/>
              <w:autoSpaceDN/>
              <w:adjustRightInd/>
              <w:snapToGrid/>
              <w:spacing w:line="320" w:lineRule="exact"/>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restart"/>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采购</w:t>
            </w:r>
          </w:p>
        </w:tc>
        <w:tc>
          <w:tcPr>
            <w:tcW w:w="4960" w:type="dxa"/>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sz w:val="24"/>
                <w:szCs w:val="22"/>
              </w:rPr>
              <w:t>工厂应制定并实施包括环保要求的选择、评价和重新评价供方的准则</w:t>
            </w:r>
            <w:r>
              <w:rPr>
                <w:rFonts w:ascii="Times New Roman" w:hAnsi="Times New Roman" w:eastAsia="仿宋_GB2312" w:cs="Times New Roman"/>
                <w:snapToGrid/>
                <w:kern w:val="2"/>
                <w:sz w:val="24"/>
                <w:szCs w:val="24"/>
              </w:rPr>
              <w:t>。</w:t>
            </w:r>
          </w:p>
        </w:tc>
        <w:tc>
          <w:tcPr>
            <w:tcW w:w="2407" w:type="dxa"/>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c>
          <w:tcPr>
            <w:tcW w:w="1275" w:type="dxa"/>
            <w:vMerge w:val="restart"/>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必选</w:t>
            </w:r>
          </w:p>
        </w:tc>
        <w:tc>
          <w:tcPr>
            <w:tcW w:w="851"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10</w:t>
            </w:r>
          </w:p>
        </w:tc>
        <w:tc>
          <w:tcPr>
            <w:tcW w:w="711"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770" w:type="dxa"/>
            <w:noWrap w:val="0"/>
            <w:vAlign w:val="center"/>
          </w:tcPr>
          <w:p>
            <w:pPr>
              <w:widowControl w:val="0"/>
              <w:kinsoku/>
              <w:autoSpaceDE/>
              <w:autoSpaceDN/>
              <w:adjustRightInd/>
              <w:snapToGrid/>
              <w:spacing w:line="320" w:lineRule="exact"/>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p>
        </w:tc>
        <w:tc>
          <w:tcPr>
            <w:tcW w:w="4960" w:type="dxa"/>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sz w:val="24"/>
                <w:szCs w:val="22"/>
              </w:rPr>
              <w:t>工厂应确定并实施检验或其他必要的活动，以确保采购的产品满足规定的采购要求。</w:t>
            </w:r>
          </w:p>
        </w:tc>
        <w:tc>
          <w:tcPr>
            <w:tcW w:w="2407" w:type="dxa"/>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c>
          <w:tcPr>
            <w:tcW w:w="1275"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851"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10</w:t>
            </w:r>
          </w:p>
        </w:tc>
        <w:tc>
          <w:tcPr>
            <w:tcW w:w="711"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770" w:type="dxa"/>
            <w:noWrap w:val="0"/>
            <w:vAlign w:val="center"/>
          </w:tcPr>
          <w:p>
            <w:pPr>
              <w:widowControl w:val="0"/>
              <w:kinsoku/>
              <w:autoSpaceDE/>
              <w:autoSpaceDN/>
              <w:adjustRightInd/>
              <w:snapToGrid/>
              <w:spacing w:line="320" w:lineRule="exact"/>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p>
        </w:tc>
        <w:tc>
          <w:tcPr>
            <w:tcW w:w="4960" w:type="dxa"/>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工厂向供方提供的采购信息包含有害物质使用、可回收材料使用、能效等环保要求。</w:t>
            </w:r>
          </w:p>
        </w:tc>
        <w:tc>
          <w:tcPr>
            <w:tcW w:w="2407" w:type="dxa"/>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c>
          <w:tcPr>
            <w:tcW w:w="1275" w:type="dxa"/>
            <w:vMerge w:val="restart"/>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可选</w:t>
            </w:r>
          </w:p>
        </w:tc>
        <w:tc>
          <w:tcPr>
            <w:tcW w:w="851"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4</w:t>
            </w:r>
          </w:p>
        </w:tc>
        <w:tc>
          <w:tcPr>
            <w:tcW w:w="711"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770" w:type="dxa"/>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p>
        </w:tc>
        <w:tc>
          <w:tcPr>
            <w:tcW w:w="4960" w:type="dxa"/>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满足绿色供应链评价要求。</w:t>
            </w:r>
          </w:p>
        </w:tc>
        <w:tc>
          <w:tcPr>
            <w:tcW w:w="2407" w:type="dxa"/>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c>
          <w:tcPr>
            <w:tcW w:w="1275" w:type="dxa"/>
            <w:vMerge w:val="continue"/>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p>
        </w:tc>
        <w:tc>
          <w:tcPr>
            <w:tcW w:w="851"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5</w:t>
            </w:r>
          </w:p>
        </w:tc>
        <w:tc>
          <w:tcPr>
            <w:tcW w:w="711"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770" w:type="dxa"/>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restart"/>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4</w:t>
            </w:r>
          </w:p>
        </w:tc>
        <w:tc>
          <w:tcPr>
            <w:tcW w:w="1135" w:type="dxa"/>
            <w:vMerge w:val="restart"/>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产品</w:t>
            </w:r>
          </w:p>
        </w:tc>
        <w:tc>
          <w:tcPr>
            <w:tcW w:w="1135" w:type="dxa"/>
            <w:vMerge w:val="restart"/>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生态</w:t>
            </w:r>
          </w:p>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设计</w:t>
            </w:r>
          </w:p>
        </w:tc>
        <w:tc>
          <w:tcPr>
            <w:tcW w:w="4960" w:type="dxa"/>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工厂在产品设计中引入生态设计的理念。</w:t>
            </w:r>
          </w:p>
        </w:tc>
        <w:tc>
          <w:tcPr>
            <w:tcW w:w="2407" w:type="dxa"/>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c>
          <w:tcPr>
            <w:tcW w:w="1275"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必选</w:t>
            </w:r>
          </w:p>
        </w:tc>
        <w:tc>
          <w:tcPr>
            <w:tcW w:w="851"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30</w:t>
            </w:r>
          </w:p>
        </w:tc>
        <w:tc>
          <w:tcPr>
            <w:tcW w:w="711" w:type="dxa"/>
            <w:vMerge w:val="restart"/>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10%</w:t>
            </w:r>
          </w:p>
        </w:tc>
        <w:tc>
          <w:tcPr>
            <w:tcW w:w="770" w:type="dxa"/>
            <w:noWrap w:val="0"/>
            <w:vAlign w:val="center"/>
          </w:tcPr>
          <w:p>
            <w:pPr>
              <w:widowControl w:val="0"/>
              <w:kinsoku/>
              <w:autoSpaceDE/>
              <w:autoSpaceDN/>
              <w:adjustRightInd/>
              <w:snapToGrid/>
              <w:spacing w:line="320" w:lineRule="exact"/>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p>
        </w:tc>
        <w:tc>
          <w:tcPr>
            <w:tcW w:w="4960" w:type="dxa"/>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spacing w:val="-6"/>
                <w:sz w:val="24"/>
                <w:szCs w:val="22"/>
              </w:rPr>
              <w:t>按照GB/T 24256对生产的产品进行生态设计。</w:t>
            </w:r>
          </w:p>
        </w:tc>
        <w:tc>
          <w:tcPr>
            <w:tcW w:w="2407" w:type="dxa"/>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c>
          <w:tcPr>
            <w:tcW w:w="1275" w:type="dxa"/>
            <w:vMerge w:val="restart"/>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可选</w:t>
            </w:r>
          </w:p>
        </w:tc>
        <w:tc>
          <w:tcPr>
            <w:tcW w:w="851"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6</w:t>
            </w:r>
          </w:p>
        </w:tc>
        <w:tc>
          <w:tcPr>
            <w:tcW w:w="711"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770" w:type="dxa"/>
            <w:noWrap w:val="0"/>
            <w:vAlign w:val="center"/>
          </w:tcPr>
          <w:p>
            <w:pPr>
              <w:widowControl w:val="0"/>
              <w:kinsoku/>
              <w:autoSpaceDE/>
              <w:autoSpaceDN/>
              <w:adjustRightInd/>
              <w:snapToGrid/>
              <w:spacing w:line="320" w:lineRule="exact"/>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p>
        </w:tc>
        <w:tc>
          <w:tcPr>
            <w:tcW w:w="4960" w:type="dxa"/>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按照GB/T 32161对生产的产品进行生态设计产品评价，满足绿色产品（生态设计产品）评价要求。</w:t>
            </w:r>
          </w:p>
        </w:tc>
        <w:tc>
          <w:tcPr>
            <w:tcW w:w="2407" w:type="dxa"/>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c>
          <w:tcPr>
            <w:tcW w:w="1275" w:type="dxa"/>
            <w:vMerge w:val="continue"/>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p>
        </w:tc>
        <w:tc>
          <w:tcPr>
            <w:tcW w:w="851"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4</w:t>
            </w:r>
          </w:p>
        </w:tc>
        <w:tc>
          <w:tcPr>
            <w:tcW w:w="711"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770" w:type="dxa"/>
            <w:noWrap w:val="0"/>
            <w:vAlign w:val="center"/>
          </w:tcPr>
          <w:p>
            <w:pPr>
              <w:widowControl w:val="0"/>
              <w:kinsoku/>
              <w:autoSpaceDE/>
              <w:autoSpaceDN/>
              <w:adjustRightInd/>
              <w:snapToGrid/>
              <w:spacing w:line="320" w:lineRule="exact"/>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restart"/>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有害物质使用</w:t>
            </w:r>
          </w:p>
        </w:tc>
        <w:tc>
          <w:tcPr>
            <w:tcW w:w="4960" w:type="dxa"/>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工厂生产的产品（包括原料和辅料）应减少有害物质的使用，避免有害物质的泄露，满足国家对产品中有害物质限制使用的要求。</w:t>
            </w:r>
          </w:p>
        </w:tc>
        <w:tc>
          <w:tcPr>
            <w:tcW w:w="2407" w:type="dxa"/>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c>
          <w:tcPr>
            <w:tcW w:w="1275"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必选</w:t>
            </w:r>
          </w:p>
        </w:tc>
        <w:tc>
          <w:tcPr>
            <w:tcW w:w="851"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15</w:t>
            </w:r>
          </w:p>
        </w:tc>
        <w:tc>
          <w:tcPr>
            <w:tcW w:w="711"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770" w:type="dxa"/>
            <w:noWrap w:val="0"/>
            <w:vAlign w:val="center"/>
          </w:tcPr>
          <w:p>
            <w:pPr>
              <w:widowControl w:val="0"/>
              <w:kinsoku/>
              <w:autoSpaceDE/>
              <w:autoSpaceDN/>
              <w:adjustRightInd/>
              <w:snapToGrid/>
              <w:spacing w:line="320" w:lineRule="exact"/>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4960" w:type="dxa"/>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sz w:val="24"/>
                <w:szCs w:val="22"/>
              </w:rPr>
              <w:t>实现有害物质替代。</w:t>
            </w:r>
          </w:p>
        </w:tc>
        <w:tc>
          <w:tcPr>
            <w:tcW w:w="2407" w:type="dxa"/>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c>
          <w:tcPr>
            <w:tcW w:w="1275"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可选</w:t>
            </w:r>
          </w:p>
        </w:tc>
        <w:tc>
          <w:tcPr>
            <w:tcW w:w="851"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4</w:t>
            </w:r>
          </w:p>
        </w:tc>
        <w:tc>
          <w:tcPr>
            <w:tcW w:w="711"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770" w:type="dxa"/>
            <w:noWrap w:val="0"/>
            <w:vAlign w:val="center"/>
          </w:tcPr>
          <w:p>
            <w:pPr>
              <w:widowControl w:val="0"/>
              <w:kinsoku/>
              <w:autoSpaceDE/>
              <w:autoSpaceDN/>
              <w:adjustRightInd/>
              <w:snapToGrid/>
              <w:spacing w:line="320" w:lineRule="exact"/>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restart"/>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节能</w:t>
            </w:r>
          </w:p>
        </w:tc>
        <w:tc>
          <w:tcPr>
            <w:tcW w:w="4960" w:type="dxa"/>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工厂生产的产品若为用能产品或在使用过程中对最终产品/构造的能耗有影响的产品，适用时，应满足相关标准的限定值要求。未制定标准的，产品能效应不低于行业平均值。</w:t>
            </w:r>
          </w:p>
        </w:tc>
        <w:tc>
          <w:tcPr>
            <w:tcW w:w="2407" w:type="dxa"/>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c>
          <w:tcPr>
            <w:tcW w:w="1275"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必选（适用时）</w:t>
            </w:r>
          </w:p>
        </w:tc>
        <w:tc>
          <w:tcPr>
            <w:tcW w:w="851"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15</w:t>
            </w:r>
          </w:p>
        </w:tc>
        <w:tc>
          <w:tcPr>
            <w:tcW w:w="711"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770" w:type="dxa"/>
            <w:noWrap w:val="0"/>
            <w:vAlign w:val="center"/>
          </w:tcPr>
          <w:p>
            <w:pPr>
              <w:widowControl w:val="0"/>
              <w:kinsoku/>
              <w:autoSpaceDE/>
              <w:autoSpaceDN/>
              <w:adjustRightInd/>
              <w:snapToGrid/>
              <w:spacing w:line="320" w:lineRule="exact"/>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p>
        </w:tc>
        <w:tc>
          <w:tcPr>
            <w:tcW w:w="4960" w:type="dxa"/>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sz w:val="24"/>
                <w:szCs w:val="22"/>
              </w:rPr>
              <w:t>达到相关标准中的节能评价值/先进值要求，未制定标准的，产品能效达到行业前20%的水平，前5%为满分。</w:t>
            </w:r>
          </w:p>
        </w:tc>
        <w:tc>
          <w:tcPr>
            <w:tcW w:w="2407" w:type="dxa"/>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c>
          <w:tcPr>
            <w:tcW w:w="1275"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可选（适用时）</w:t>
            </w:r>
          </w:p>
        </w:tc>
        <w:tc>
          <w:tcPr>
            <w:tcW w:w="851"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6</w:t>
            </w:r>
          </w:p>
        </w:tc>
        <w:tc>
          <w:tcPr>
            <w:tcW w:w="711"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770" w:type="dxa"/>
            <w:noWrap w:val="0"/>
            <w:vAlign w:val="center"/>
          </w:tcPr>
          <w:p>
            <w:pPr>
              <w:widowControl w:val="0"/>
              <w:kinsoku/>
              <w:autoSpaceDE/>
              <w:autoSpaceDN/>
              <w:adjustRightInd/>
              <w:snapToGrid/>
              <w:spacing w:line="320" w:lineRule="exact"/>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restart"/>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减碳</w:t>
            </w:r>
          </w:p>
        </w:tc>
        <w:tc>
          <w:tcPr>
            <w:tcW w:w="4960" w:type="dxa"/>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sz w:val="24"/>
                <w:szCs w:val="22"/>
              </w:rPr>
              <w:t>采用适用的标准或规范对产品进行碳足迹核算或核查。</w:t>
            </w:r>
          </w:p>
        </w:tc>
        <w:tc>
          <w:tcPr>
            <w:tcW w:w="2407" w:type="dxa"/>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c>
          <w:tcPr>
            <w:tcW w:w="1275" w:type="dxa"/>
            <w:vMerge w:val="restart"/>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可选</w:t>
            </w:r>
          </w:p>
        </w:tc>
        <w:tc>
          <w:tcPr>
            <w:tcW w:w="851"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6</w:t>
            </w:r>
          </w:p>
        </w:tc>
        <w:tc>
          <w:tcPr>
            <w:tcW w:w="711"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770" w:type="dxa"/>
            <w:noWrap w:val="0"/>
            <w:vAlign w:val="center"/>
          </w:tcPr>
          <w:p>
            <w:pPr>
              <w:widowControl w:val="0"/>
              <w:kinsoku/>
              <w:autoSpaceDE/>
              <w:autoSpaceDN/>
              <w:adjustRightInd/>
              <w:snapToGrid/>
              <w:spacing w:line="320" w:lineRule="exact"/>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p>
        </w:tc>
        <w:tc>
          <w:tcPr>
            <w:tcW w:w="4960" w:type="dxa"/>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sz w:val="24"/>
                <w:szCs w:val="22"/>
              </w:rPr>
              <w:t>利用核算或核查结果对其产品的碳足迹进行改善。核算或核查结果对外公布。</w:t>
            </w:r>
          </w:p>
        </w:tc>
        <w:tc>
          <w:tcPr>
            <w:tcW w:w="2407" w:type="dxa"/>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c>
          <w:tcPr>
            <w:tcW w:w="1275" w:type="dxa"/>
            <w:vMerge w:val="continue"/>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p>
        </w:tc>
        <w:tc>
          <w:tcPr>
            <w:tcW w:w="851"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3</w:t>
            </w:r>
          </w:p>
        </w:tc>
        <w:tc>
          <w:tcPr>
            <w:tcW w:w="711"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770" w:type="dxa"/>
            <w:noWrap w:val="0"/>
            <w:vAlign w:val="center"/>
          </w:tcPr>
          <w:p>
            <w:pPr>
              <w:widowControl w:val="0"/>
              <w:kinsoku/>
              <w:autoSpaceDE/>
              <w:autoSpaceDN/>
              <w:adjustRightInd/>
              <w:snapToGrid/>
              <w:spacing w:line="320" w:lineRule="exact"/>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p>
        </w:tc>
        <w:tc>
          <w:tcPr>
            <w:tcW w:w="4960" w:type="dxa"/>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sz w:val="24"/>
                <w:szCs w:val="22"/>
              </w:rPr>
              <w:t>适用时，产品满足相关低碳产品要求。</w:t>
            </w:r>
          </w:p>
        </w:tc>
        <w:tc>
          <w:tcPr>
            <w:tcW w:w="2407" w:type="dxa"/>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c>
          <w:tcPr>
            <w:tcW w:w="1275" w:type="dxa"/>
            <w:vMerge w:val="continue"/>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p>
        </w:tc>
        <w:tc>
          <w:tcPr>
            <w:tcW w:w="851"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3</w:t>
            </w:r>
          </w:p>
        </w:tc>
        <w:tc>
          <w:tcPr>
            <w:tcW w:w="711"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770" w:type="dxa"/>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restart"/>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可回收利用率</w:t>
            </w:r>
          </w:p>
        </w:tc>
        <w:tc>
          <w:tcPr>
            <w:tcW w:w="4960" w:type="dxa"/>
            <w:noWrap w:val="0"/>
            <w:vAlign w:val="center"/>
          </w:tcPr>
          <w:p>
            <w:pPr>
              <w:widowControl w:val="0"/>
              <w:kinsoku/>
              <w:snapToGrid/>
              <w:spacing w:line="32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sz w:val="24"/>
                <w:szCs w:val="24"/>
              </w:rPr>
              <w:t>按照GB/T 20862的要求计算其产品的可回收利用率。</w:t>
            </w:r>
          </w:p>
        </w:tc>
        <w:tc>
          <w:tcPr>
            <w:tcW w:w="2407" w:type="dxa"/>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c>
          <w:tcPr>
            <w:tcW w:w="1275" w:type="dxa"/>
            <w:vMerge w:val="restart"/>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可选</w:t>
            </w:r>
          </w:p>
        </w:tc>
        <w:tc>
          <w:tcPr>
            <w:tcW w:w="851"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4</w:t>
            </w:r>
          </w:p>
        </w:tc>
        <w:tc>
          <w:tcPr>
            <w:tcW w:w="711"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770" w:type="dxa"/>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p>
        </w:tc>
        <w:tc>
          <w:tcPr>
            <w:tcW w:w="4960" w:type="dxa"/>
            <w:noWrap w:val="0"/>
            <w:vAlign w:val="center"/>
          </w:tcPr>
          <w:p>
            <w:pPr>
              <w:widowControl w:val="0"/>
              <w:kinsoku/>
              <w:snapToGrid/>
              <w:spacing w:line="32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sz w:val="24"/>
                <w:szCs w:val="24"/>
              </w:rPr>
              <w:t>利用计算结果对产品的可回收利用率进行改善。</w:t>
            </w:r>
          </w:p>
        </w:tc>
        <w:tc>
          <w:tcPr>
            <w:tcW w:w="2407" w:type="dxa"/>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c>
          <w:tcPr>
            <w:tcW w:w="1275" w:type="dxa"/>
            <w:vMerge w:val="continue"/>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p>
        </w:tc>
        <w:tc>
          <w:tcPr>
            <w:tcW w:w="851"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4</w:t>
            </w:r>
          </w:p>
        </w:tc>
        <w:tc>
          <w:tcPr>
            <w:tcW w:w="711"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770" w:type="dxa"/>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restart"/>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5</w:t>
            </w:r>
          </w:p>
        </w:tc>
        <w:tc>
          <w:tcPr>
            <w:tcW w:w="1135" w:type="dxa"/>
            <w:vMerge w:val="restart"/>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环境</w:t>
            </w:r>
          </w:p>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排放</w:t>
            </w:r>
          </w:p>
        </w:tc>
        <w:tc>
          <w:tcPr>
            <w:tcW w:w="1135" w:type="dxa"/>
            <w:vMerge w:val="restart"/>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大气污染物</w:t>
            </w:r>
          </w:p>
        </w:tc>
        <w:tc>
          <w:tcPr>
            <w:tcW w:w="4960" w:type="dxa"/>
            <w:noWrap w:val="0"/>
            <w:vAlign w:val="center"/>
          </w:tcPr>
          <w:p>
            <w:pPr>
              <w:widowControl w:val="0"/>
              <w:kinsoku/>
              <w:snapToGrid/>
              <w:spacing w:line="28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sz w:val="24"/>
                <w:szCs w:val="24"/>
              </w:rPr>
              <w:t>工厂的大气污染物排放应符合相关国家标准、行业标准及地方标准要求，并满足区域内排放总量控制要求。</w:t>
            </w:r>
          </w:p>
        </w:tc>
        <w:tc>
          <w:tcPr>
            <w:tcW w:w="2407" w:type="dxa"/>
            <w:noWrap w:val="0"/>
            <w:vAlign w:val="center"/>
          </w:tcPr>
          <w:p>
            <w:pPr>
              <w:widowControl w:val="0"/>
              <w:kinsoku/>
              <w:autoSpaceDE/>
              <w:autoSpaceDN/>
              <w:adjustRightInd/>
              <w:snapToGrid/>
              <w:spacing w:line="28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c>
          <w:tcPr>
            <w:tcW w:w="1275"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必选</w:t>
            </w:r>
          </w:p>
        </w:tc>
        <w:tc>
          <w:tcPr>
            <w:tcW w:w="851"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15</w:t>
            </w:r>
          </w:p>
        </w:tc>
        <w:tc>
          <w:tcPr>
            <w:tcW w:w="711" w:type="dxa"/>
            <w:vMerge w:val="restart"/>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10%</w:t>
            </w:r>
          </w:p>
        </w:tc>
        <w:tc>
          <w:tcPr>
            <w:tcW w:w="770" w:type="dxa"/>
            <w:noWrap w:val="0"/>
            <w:vAlign w:val="center"/>
          </w:tcPr>
          <w:p>
            <w:pPr>
              <w:widowControl w:val="0"/>
              <w:kinsoku/>
              <w:autoSpaceDE/>
              <w:autoSpaceDN/>
              <w:adjustRightInd/>
              <w:snapToGrid/>
              <w:spacing w:line="320" w:lineRule="exact"/>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p>
        </w:tc>
        <w:tc>
          <w:tcPr>
            <w:tcW w:w="4960" w:type="dxa"/>
            <w:noWrap w:val="0"/>
            <w:vAlign w:val="center"/>
          </w:tcPr>
          <w:p>
            <w:pPr>
              <w:widowControl w:val="0"/>
              <w:kinsoku/>
              <w:snapToGrid/>
              <w:spacing w:line="280" w:lineRule="exact"/>
              <w:jc w:val="both"/>
              <w:textAlignment w:val="auto"/>
              <w:rPr>
                <w:rFonts w:ascii="Times New Roman" w:hAnsi="Times New Roman" w:eastAsia="仿宋_GB2312" w:cs="Times New Roman"/>
                <w:snapToGrid/>
                <w:sz w:val="24"/>
                <w:szCs w:val="24"/>
              </w:rPr>
            </w:pPr>
            <w:r>
              <w:rPr>
                <w:rFonts w:ascii="Times New Roman" w:hAnsi="Times New Roman" w:eastAsia="仿宋_GB2312" w:cs="Times New Roman"/>
                <w:snapToGrid/>
                <w:sz w:val="24"/>
                <w:szCs w:val="22"/>
              </w:rPr>
              <w:t>工厂的主要大气污染物排放满足标准中更高等级的要求。</w:t>
            </w:r>
          </w:p>
        </w:tc>
        <w:tc>
          <w:tcPr>
            <w:tcW w:w="2407" w:type="dxa"/>
            <w:noWrap w:val="0"/>
            <w:vAlign w:val="center"/>
          </w:tcPr>
          <w:p>
            <w:pPr>
              <w:widowControl w:val="0"/>
              <w:kinsoku/>
              <w:autoSpaceDE/>
              <w:autoSpaceDN/>
              <w:adjustRightInd/>
              <w:snapToGrid/>
              <w:spacing w:line="28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c>
          <w:tcPr>
            <w:tcW w:w="1275"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可选</w:t>
            </w:r>
          </w:p>
        </w:tc>
        <w:tc>
          <w:tcPr>
            <w:tcW w:w="851"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10</w:t>
            </w:r>
          </w:p>
        </w:tc>
        <w:tc>
          <w:tcPr>
            <w:tcW w:w="711" w:type="dxa"/>
            <w:vMerge w:val="continue"/>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p>
        </w:tc>
        <w:tc>
          <w:tcPr>
            <w:tcW w:w="770" w:type="dxa"/>
            <w:noWrap w:val="0"/>
            <w:vAlign w:val="center"/>
          </w:tcPr>
          <w:p>
            <w:pPr>
              <w:widowControl w:val="0"/>
              <w:kinsoku/>
              <w:autoSpaceDE/>
              <w:autoSpaceDN/>
              <w:adjustRightInd/>
              <w:snapToGrid/>
              <w:spacing w:line="320" w:lineRule="exact"/>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1234" w:hRule="atLeast"/>
          <w:jc w:val="center"/>
        </w:trPr>
        <w:tc>
          <w:tcPr>
            <w:tcW w:w="704"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restart"/>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水体污染物</w:t>
            </w:r>
          </w:p>
        </w:tc>
        <w:tc>
          <w:tcPr>
            <w:tcW w:w="4960" w:type="dxa"/>
            <w:noWrap w:val="0"/>
            <w:vAlign w:val="center"/>
          </w:tcPr>
          <w:p>
            <w:pPr>
              <w:widowControl w:val="0"/>
              <w:kinsoku/>
              <w:snapToGrid/>
              <w:spacing w:line="28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sz w:val="24"/>
                <w:szCs w:val="22"/>
              </w:rPr>
              <w:t>工厂的水体污染物排放应符合相关国家标准、行业标准及地方标准要求，或在满足要求的前提下委托具备相应能力和资质的处理厂进行处理，并满足区域内排放总量控制要求。</w:t>
            </w:r>
          </w:p>
        </w:tc>
        <w:tc>
          <w:tcPr>
            <w:tcW w:w="2407" w:type="dxa"/>
            <w:noWrap w:val="0"/>
            <w:vAlign w:val="center"/>
          </w:tcPr>
          <w:p>
            <w:pPr>
              <w:widowControl w:val="0"/>
              <w:kinsoku/>
              <w:autoSpaceDE/>
              <w:autoSpaceDN/>
              <w:adjustRightInd/>
              <w:snapToGrid/>
              <w:spacing w:line="28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c>
          <w:tcPr>
            <w:tcW w:w="1275"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必选</w:t>
            </w:r>
          </w:p>
        </w:tc>
        <w:tc>
          <w:tcPr>
            <w:tcW w:w="851"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15</w:t>
            </w:r>
          </w:p>
        </w:tc>
        <w:tc>
          <w:tcPr>
            <w:tcW w:w="711"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770" w:type="dxa"/>
            <w:noWrap w:val="0"/>
            <w:vAlign w:val="center"/>
          </w:tcPr>
          <w:p>
            <w:pPr>
              <w:widowControl w:val="0"/>
              <w:kinsoku/>
              <w:autoSpaceDE/>
              <w:autoSpaceDN/>
              <w:adjustRightInd/>
              <w:snapToGrid/>
              <w:spacing w:line="320" w:lineRule="exact"/>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718" w:hRule="atLeast"/>
          <w:jc w:val="center"/>
        </w:trPr>
        <w:tc>
          <w:tcPr>
            <w:tcW w:w="704"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4960" w:type="dxa"/>
            <w:noWrap w:val="0"/>
            <w:vAlign w:val="center"/>
          </w:tcPr>
          <w:p>
            <w:pPr>
              <w:widowControl w:val="0"/>
              <w:kinsoku/>
              <w:snapToGrid/>
              <w:spacing w:line="280" w:lineRule="exact"/>
              <w:jc w:val="both"/>
              <w:textAlignment w:val="auto"/>
              <w:rPr>
                <w:rFonts w:ascii="Times New Roman" w:hAnsi="Times New Roman" w:eastAsia="仿宋_GB2312" w:cs="Times New Roman"/>
                <w:snapToGrid/>
                <w:sz w:val="24"/>
                <w:szCs w:val="22"/>
              </w:rPr>
            </w:pPr>
            <w:r>
              <w:rPr>
                <w:rFonts w:ascii="Times New Roman" w:hAnsi="Times New Roman" w:eastAsia="仿宋_GB2312" w:cs="Times New Roman"/>
                <w:snapToGrid/>
                <w:sz w:val="24"/>
                <w:szCs w:val="22"/>
              </w:rPr>
              <w:t>工厂的主要水体污染物排放满足标准中更高等级的要求。</w:t>
            </w:r>
          </w:p>
        </w:tc>
        <w:tc>
          <w:tcPr>
            <w:tcW w:w="2407" w:type="dxa"/>
            <w:noWrap w:val="0"/>
            <w:vAlign w:val="center"/>
          </w:tcPr>
          <w:p>
            <w:pPr>
              <w:widowControl w:val="0"/>
              <w:kinsoku/>
              <w:autoSpaceDE/>
              <w:autoSpaceDN/>
              <w:adjustRightInd/>
              <w:snapToGrid/>
              <w:spacing w:line="28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c>
          <w:tcPr>
            <w:tcW w:w="1275"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可选</w:t>
            </w:r>
          </w:p>
        </w:tc>
        <w:tc>
          <w:tcPr>
            <w:tcW w:w="851"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10</w:t>
            </w:r>
          </w:p>
        </w:tc>
        <w:tc>
          <w:tcPr>
            <w:tcW w:w="711"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770" w:type="dxa"/>
            <w:noWrap w:val="0"/>
            <w:vAlign w:val="center"/>
          </w:tcPr>
          <w:p>
            <w:pPr>
              <w:widowControl w:val="0"/>
              <w:kinsoku/>
              <w:autoSpaceDE/>
              <w:autoSpaceDN/>
              <w:adjustRightInd/>
              <w:snapToGrid/>
              <w:spacing w:line="320" w:lineRule="exact"/>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1255" w:hRule="atLeast"/>
          <w:jc w:val="center"/>
        </w:trPr>
        <w:tc>
          <w:tcPr>
            <w:tcW w:w="704"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固体废弃物</w:t>
            </w:r>
          </w:p>
        </w:tc>
        <w:tc>
          <w:tcPr>
            <w:tcW w:w="4960" w:type="dxa"/>
            <w:noWrap w:val="0"/>
            <w:vAlign w:val="center"/>
          </w:tcPr>
          <w:p>
            <w:pPr>
              <w:widowControl w:val="0"/>
              <w:kinsoku/>
              <w:autoSpaceDE/>
              <w:autoSpaceDN/>
              <w:snapToGrid/>
              <w:spacing w:line="28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sz w:val="24"/>
                <w:szCs w:val="24"/>
              </w:rPr>
              <w:t>工厂产生的固体废弃物的处理应符合GB 18599及相关标准的要求。工厂无法自行处理的，应将固体废弃物转交给具备相应能力和资质的处理厂进行处理。</w:t>
            </w:r>
          </w:p>
        </w:tc>
        <w:tc>
          <w:tcPr>
            <w:tcW w:w="2407" w:type="dxa"/>
            <w:noWrap w:val="0"/>
            <w:vAlign w:val="center"/>
          </w:tcPr>
          <w:p>
            <w:pPr>
              <w:widowControl w:val="0"/>
              <w:kinsoku/>
              <w:autoSpaceDE/>
              <w:autoSpaceDN/>
              <w:adjustRightInd/>
              <w:snapToGrid/>
              <w:spacing w:line="28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c>
          <w:tcPr>
            <w:tcW w:w="1275"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必选</w:t>
            </w:r>
          </w:p>
        </w:tc>
        <w:tc>
          <w:tcPr>
            <w:tcW w:w="851"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10</w:t>
            </w:r>
          </w:p>
        </w:tc>
        <w:tc>
          <w:tcPr>
            <w:tcW w:w="711"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770" w:type="dxa"/>
            <w:noWrap w:val="0"/>
            <w:vAlign w:val="center"/>
          </w:tcPr>
          <w:p>
            <w:pPr>
              <w:widowControl w:val="0"/>
              <w:kinsoku/>
              <w:autoSpaceDE/>
              <w:autoSpaceDN/>
              <w:adjustRightInd/>
              <w:snapToGrid/>
              <w:spacing w:line="320" w:lineRule="exact"/>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718" w:hRule="atLeast"/>
          <w:jc w:val="center"/>
        </w:trPr>
        <w:tc>
          <w:tcPr>
            <w:tcW w:w="704"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噪声</w:t>
            </w:r>
          </w:p>
        </w:tc>
        <w:tc>
          <w:tcPr>
            <w:tcW w:w="4960" w:type="dxa"/>
            <w:noWrap w:val="0"/>
            <w:vAlign w:val="center"/>
          </w:tcPr>
          <w:p>
            <w:pPr>
              <w:widowControl w:val="0"/>
              <w:kinsoku/>
              <w:snapToGrid/>
              <w:spacing w:line="28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sz w:val="24"/>
                <w:szCs w:val="22"/>
              </w:rPr>
              <w:t>工厂的厂界环境噪声排放应符合相关国家标准、行业标准及地方标准要求。</w:t>
            </w:r>
          </w:p>
        </w:tc>
        <w:tc>
          <w:tcPr>
            <w:tcW w:w="2407" w:type="dxa"/>
            <w:noWrap w:val="0"/>
            <w:vAlign w:val="center"/>
          </w:tcPr>
          <w:p>
            <w:pPr>
              <w:widowControl w:val="0"/>
              <w:kinsoku/>
              <w:autoSpaceDE/>
              <w:autoSpaceDN/>
              <w:adjustRightInd/>
              <w:snapToGrid/>
              <w:spacing w:line="28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c>
          <w:tcPr>
            <w:tcW w:w="1275"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必选</w:t>
            </w:r>
          </w:p>
        </w:tc>
        <w:tc>
          <w:tcPr>
            <w:tcW w:w="851"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10</w:t>
            </w:r>
          </w:p>
        </w:tc>
        <w:tc>
          <w:tcPr>
            <w:tcW w:w="711"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770" w:type="dxa"/>
            <w:noWrap w:val="0"/>
            <w:vAlign w:val="center"/>
          </w:tcPr>
          <w:p>
            <w:pPr>
              <w:widowControl w:val="0"/>
              <w:kinsoku/>
              <w:autoSpaceDE/>
              <w:autoSpaceDN/>
              <w:adjustRightInd/>
              <w:snapToGrid/>
              <w:spacing w:line="320" w:lineRule="exact"/>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718" w:hRule="atLeast"/>
          <w:jc w:val="center"/>
        </w:trPr>
        <w:tc>
          <w:tcPr>
            <w:tcW w:w="704"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restart"/>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温室</w:t>
            </w:r>
          </w:p>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气体</w:t>
            </w:r>
          </w:p>
        </w:tc>
        <w:tc>
          <w:tcPr>
            <w:tcW w:w="4960" w:type="dxa"/>
            <w:noWrap w:val="0"/>
            <w:vAlign w:val="center"/>
          </w:tcPr>
          <w:p>
            <w:pPr>
              <w:widowControl w:val="0"/>
              <w:kinsoku/>
              <w:autoSpaceDE/>
              <w:autoSpaceDN/>
              <w:snapToGrid/>
              <w:spacing w:line="28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sz w:val="24"/>
                <w:szCs w:val="24"/>
              </w:rPr>
              <w:t>工厂应采用GB/T 32150或适用的标准或规范对其厂界范围内的温室气体排放进行核算和报告。</w:t>
            </w:r>
          </w:p>
        </w:tc>
        <w:tc>
          <w:tcPr>
            <w:tcW w:w="2407" w:type="dxa"/>
            <w:noWrap w:val="0"/>
            <w:vAlign w:val="center"/>
          </w:tcPr>
          <w:p>
            <w:pPr>
              <w:widowControl w:val="0"/>
              <w:kinsoku/>
              <w:autoSpaceDE/>
              <w:autoSpaceDN/>
              <w:adjustRightInd/>
              <w:snapToGrid/>
              <w:spacing w:line="28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c>
          <w:tcPr>
            <w:tcW w:w="1275"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必选</w:t>
            </w:r>
          </w:p>
        </w:tc>
        <w:tc>
          <w:tcPr>
            <w:tcW w:w="851"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10</w:t>
            </w:r>
          </w:p>
        </w:tc>
        <w:tc>
          <w:tcPr>
            <w:tcW w:w="711"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770" w:type="dxa"/>
            <w:noWrap w:val="0"/>
            <w:vAlign w:val="center"/>
          </w:tcPr>
          <w:p>
            <w:pPr>
              <w:widowControl w:val="0"/>
              <w:kinsoku/>
              <w:autoSpaceDE/>
              <w:autoSpaceDN/>
              <w:adjustRightInd/>
              <w:snapToGrid/>
              <w:spacing w:line="320" w:lineRule="exact"/>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p>
        </w:tc>
        <w:tc>
          <w:tcPr>
            <w:tcW w:w="4960" w:type="dxa"/>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获得温室气体排放量第三方核查声明。</w:t>
            </w:r>
          </w:p>
        </w:tc>
        <w:tc>
          <w:tcPr>
            <w:tcW w:w="2407" w:type="dxa"/>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c>
          <w:tcPr>
            <w:tcW w:w="1275"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可选</w:t>
            </w:r>
          </w:p>
        </w:tc>
        <w:tc>
          <w:tcPr>
            <w:tcW w:w="851"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10</w:t>
            </w:r>
          </w:p>
        </w:tc>
        <w:tc>
          <w:tcPr>
            <w:tcW w:w="711"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770" w:type="dxa"/>
            <w:noWrap w:val="0"/>
            <w:vAlign w:val="center"/>
          </w:tcPr>
          <w:p>
            <w:pPr>
              <w:widowControl w:val="0"/>
              <w:kinsoku/>
              <w:autoSpaceDE/>
              <w:autoSpaceDN/>
              <w:adjustRightInd/>
              <w:snapToGrid/>
              <w:spacing w:line="320" w:lineRule="exact"/>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p>
        </w:tc>
        <w:tc>
          <w:tcPr>
            <w:tcW w:w="4960" w:type="dxa"/>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核查结果对外公布。</w:t>
            </w:r>
          </w:p>
        </w:tc>
        <w:tc>
          <w:tcPr>
            <w:tcW w:w="2407" w:type="dxa"/>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c>
          <w:tcPr>
            <w:tcW w:w="1275"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可选</w:t>
            </w:r>
          </w:p>
        </w:tc>
        <w:tc>
          <w:tcPr>
            <w:tcW w:w="851"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4</w:t>
            </w:r>
          </w:p>
        </w:tc>
        <w:tc>
          <w:tcPr>
            <w:tcW w:w="711"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770" w:type="dxa"/>
            <w:noWrap w:val="0"/>
            <w:vAlign w:val="center"/>
          </w:tcPr>
          <w:p>
            <w:pPr>
              <w:widowControl w:val="0"/>
              <w:kinsoku/>
              <w:autoSpaceDE/>
              <w:autoSpaceDN/>
              <w:adjustRightInd/>
              <w:snapToGrid/>
              <w:spacing w:line="320" w:lineRule="exact"/>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p>
        </w:tc>
        <w:tc>
          <w:tcPr>
            <w:tcW w:w="4960" w:type="dxa"/>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可行时，利用核算或核查结果对其温室气体的排放进行改善。</w:t>
            </w:r>
          </w:p>
        </w:tc>
        <w:tc>
          <w:tcPr>
            <w:tcW w:w="2407" w:type="dxa"/>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c>
          <w:tcPr>
            <w:tcW w:w="1275"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可选</w:t>
            </w:r>
          </w:p>
        </w:tc>
        <w:tc>
          <w:tcPr>
            <w:tcW w:w="851"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6</w:t>
            </w:r>
          </w:p>
        </w:tc>
        <w:tc>
          <w:tcPr>
            <w:tcW w:w="711"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770" w:type="dxa"/>
            <w:noWrap w:val="0"/>
            <w:vAlign w:val="center"/>
          </w:tcPr>
          <w:p>
            <w:pPr>
              <w:widowControl w:val="0"/>
              <w:kinsoku/>
              <w:autoSpaceDE/>
              <w:autoSpaceDN/>
              <w:adjustRightInd/>
              <w:snapToGrid/>
              <w:spacing w:line="320" w:lineRule="exact"/>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restart"/>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6</w:t>
            </w:r>
          </w:p>
        </w:tc>
        <w:tc>
          <w:tcPr>
            <w:tcW w:w="1135" w:type="dxa"/>
            <w:vMerge w:val="restart"/>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绩效</w:t>
            </w:r>
          </w:p>
        </w:tc>
        <w:tc>
          <w:tcPr>
            <w:tcW w:w="1135" w:type="dxa"/>
            <w:vMerge w:val="restart"/>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用地集约化</w:t>
            </w:r>
          </w:p>
        </w:tc>
        <w:tc>
          <w:tcPr>
            <w:tcW w:w="4960" w:type="dxa"/>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按照GB/T 36132附录A计算工厂容积率，指标应不低于《工业项目建设用地控制指标》的要求。</w:t>
            </w:r>
          </w:p>
        </w:tc>
        <w:tc>
          <w:tcPr>
            <w:tcW w:w="2407" w:type="dxa"/>
            <w:vMerge w:val="restart"/>
            <w:noWrap w:val="0"/>
            <w:vAlign w:val="center"/>
          </w:tcPr>
          <w:p>
            <w:pPr>
              <w:widowControl w:val="0"/>
              <w:kinsoku/>
              <w:autoSpaceDE/>
              <w:autoSpaceDN/>
              <w:adjustRightInd/>
              <w:snapToGrid/>
              <w:spacing w:line="320" w:lineRule="exact"/>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c>
          <w:tcPr>
            <w:tcW w:w="1275"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必选</w:t>
            </w:r>
          </w:p>
        </w:tc>
        <w:tc>
          <w:tcPr>
            <w:tcW w:w="851"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3</w:t>
            </w:r>
          </w:p>
        </w:tc>
        <w:tc>
          <w:tcPr>
            <w:tcW w:w="711" w:type="dxa"/>
            <w:vMerge w:val="restart"/>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30%</w:t>
            </w:r>
          </w:p>
        </w:tc>
        <w:tc>
          <w:tcPr>
            <w:tcW w:w="770" w:type="dxa"/>
            <w:noWrap w:val="0"/>
            <w:vAlign w:val="center"/>
          </w:tcPr>
          <w:p>
            <w:pPr>
              <w:widowControl w:val="0"/>
              <w:kinsoku/>
              <w:autoSpaceDE/>
              <w:autoSpaceDN/>
              <w:adjustRightInd/>
              <w:snapToGrid/>
              <w:spacing w:line="320" w:lineRule="exact"/>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4960" w:type="dxa"/>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按照GB/T 36132附录A计算工厂容积率，指标达到《工业项目建设用地控制指标》要求的1.2倍及以上，2倍及以上为满分。</w:t>
            </w:r>
          </w:p>
        </w:tc>
        <w:tc>
          <w:tcPr>
            <w:tcW w:w="2407"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275"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可选</w:t>
            </w:r>
          </w:p>
        </w:tc>
        <w:tc>
          <w:tcPr>
            <w:tcW w:w="851"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2</w:t>
            </w:r>
          </w:p>
        </w:tc>
        <w:tc>
          <w:tcPr>
            <w:tcW w:w="711"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770" w:type="dxa"/>
            <w:noWrap w:val="0"/>
            <w:vAlign w:val="center"/>
          </w:tcPr>
          <w:p>
            <w:pPr>
              <w:widowControl w:val="0"/>
              <w:kinsoku/>
              <w:autoSpaceDE/>
              <w:autoSpaceDN/>
              <w:adjustRightInd/>
              <w:snapToGrid/>
              <w:spacing w:line="320" w:lineRule="exact"/>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4960" w:type="dxa"/>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按照GB/T 36132附录A计算工厂建筑密度，建筑密度不低于30%。</w:t>
            </w:r>
          </w:p>
        </w:tc>
        <w:tc>
          <w:tcPr>
            <w:tcW w:w="2407" w:type="dxa"/>
            <w:vMerge w:val="restart"/>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275"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必选</w:t>
            </w:r>
          </w:p>
        </w:tc>
        <w:tc>
          <w:tcPr>
            <w:tcW w:w="851"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3</w:t>
            </w:r>
          </w:p>
        </w:tc>
        <w:tc>
          <w:tcPr>
            <w:tcW w:w="711"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770" w:type="dxa"/>
            <w:noWrap w:val="0"/>
            <w:vAlign w:val="center"/>
          </w:tcPr>
          <w:p>
            <w:pPr>
              <w:widowControl w:val="0"/>
              <w:kinsoku/>
              <w:autoSpaceDE/>
              <w:autoSpaceDN/>
              <w:adjustRightInd/>
              <w:snapToGrid/>
              <w:spacing w:line="320" w:lineRule="exact"/>
              <w:textAlignment w:val="auto"/>
              <w:rPr>
                <w:rFonts w:ascii="Times New Roman" w:hAnsi="Times New Roman" w:eastAsia="仿宋_GB2312" w:cs="Times New Roman"/>
                <w:snapToGrid/>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4960" w:type="dxa"/>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按照GB/T 36132附录A计算工厂建筑密度，建筑密度达到40%。</w:t>
            </w:r>
          </w:p>
        </w:tc>
        <w:tc>
          <w:tcPr>
            <w:tcW w:w="2407"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275"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可选</w:t>
            </w:r>
          </w:p>
        </w:tc>
        <w:tc>
          <w:tcPr>
            <w:tcW w:w="851"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2</w:t>
            </w:r>
          </w:p>
        </w:tc>
        <w:tc>
          <w:tcPr>
            <w:tcW w:w="711"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770" w:type="dxa"/>
            <w:noWrap w:val="0"/>
            <w:vAlign w:val="center"/>
          </w:tcPr>
          <w:p>
            <w:pPr>
              <w:widowControl w:val="0"/>
              <w:kinsoku/>
              <w:autoSpaceDE/>
              <w:autoSpaceDN/>
              <w:adjustRightInd/>
              <w:snapToGrid/>
              <w:spacing w:line="320" w:lineRule="exact"/>
              <w:textAlignment w:val="auto"/>
              <w:rPr>
                <w:rFonts w:ascii="Times New Roman" w:hAnsi="Times New Roman" w:eastAsia="仿宋_GB2312" w:cs="Times New Roman"/>
                <w:snapToGrid/>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1780" w:hRule="atLeast"/>
          <w:jc w:val="center"/>
        </w:trPr>
        <w:tc>
          <w:tcPr>
            <w:tcW w:w="704"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4960" w:type="dxa"/>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工厂的单位用地面积产能应不低于行业平均水平；或：工厂的单位用地面积产值不低于地方发布的单位用地面积产值的要求；未发布单位用地面积产值的地区，单位用地面积产值应超过本年度所在省市的单位用地面积产值。</w:t>
            </w:r>
          </w:p>
        </w:tc>
        <w:tc>
          <w:tcPr>
            <w:tcW w:w="2407" w:type="dxa"/>
            <w:vMerge w:val="restart"/>
            <w:noWrap w:val="0"/>
            <w:vAlign w:val="center"/>
          </w:tcPr>
          <w:p>
            <w:pPr>
              <w:widowControl w:val="0"/>
              <w:kinsoku/>
              <w:autoSpaceDE/>
              <w:autoSpaceDN/>
              <w:adjustRightInd/>
              <w:snapToGrid/>
              <w:spacing w:line="320" w:lineRule="exact"/>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c>
          <w:tcPr>
            <w:tcW w:w="1275"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必选</w:t>
            </w:r>
          </w:p>
        </w:tc>
        <w:tc>
          <w:tcPr>
            <w:tcW w:w="851"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3</w:t>
            </w:r>
          </w:p>
        </w:tc>
        <w:tc>
          <w:tcPr>
            <w:tcW w:w="711"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770" w:type="dxa"/>
            <w:noWrap w:val="0"/>
            <w:vAlign w:val="center"/>
          </w:tcPr>
          <w:p>
            <w:pPr>
              <w:widowControl w:val="0"/>
              <w:kinsoku/>
              <w:autoSpaceDE/>
              <w:autoSpaceDN/>
              <w:adjustRightInd/>
              <w:snapToGrid/>
              <w:spacing w:line="320" w:lineRule="exact"/>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078" w:hRule="atLeast"/>
          <w:jc w:val="center"/>
        </w:trPr>
        <w:tc>
          <w:tcPr>
            <w:tcW w:w="704"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4960" w:type="dxa"/>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工厂的单位用地面积产能指标优于行业前20%，前5%为满分；或：单位用地面积产值达到地方发布的单位用地面积产值的要求的1.2倍及以上，2倍为满分；未发布单位用地面积产值的地区，单位用地面积产值应达到本年度所在省市的单位用地面积产值1.2倍及以上，2倍为满分。</w:t>
            </w:r>
          </w:p>
        </w:tc>
        <w:tc>
          <w:tcPr>
            <w:tcW w:w="2407"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275"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可选</w:t>
            </w:r>
          </w:p>
        </w:tc>
        <w:tc>
          <w:tcPr>
            <w:tcW w:w="851"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2</w:t>
            </w:r>
          </w:p>
        </w:tc>
        <w:tc>
          <w:tcPr>
            <w:tcW w:w="711"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770" w:type="dxa"/>
            <w:noWrap w:val="0"/>
            <w:vAlign w:val="center"/>
          </w:tcPr>
          <w:p>
            <w:pPr>
              <w:widowControl w:val="0"/>
              <w:kinsoku/>
              <w:autoSpaceDE/>
              <w:autoSpaceDN/>
              <w:adjustRightInd/>
              <w:snapToGrid/>
              <w:spacing w:line="320" w:lineRule="exact"/>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restart"/>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原料无害化</w:t>
            </w:r>
          </w:p>
        </w:tc>
        <w:tc>
          <w:tcPr>
            <w:tcW w:w="4960" w:type="dxa"/>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按照GB/T 36132附录A识别、统计和计算工厂的绿色物料使用情况。</w:t>
            </w:r>
          </w:p>
        </w:tc>
        <w:tc>
          <w:tcPr>
            <w:tcW w:w="2407" w:type="dxa"/>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c>
          <w:tcPr>
            <w:tcW w:w="1275"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必选</w:t>
            </w:r>
          </w:p>
        </w:tc>
        <w:tc>
          <w:tcPr>
            <w:tcW w:w="851"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6</w:t>
            </w:r>
          </w:p>
        </w:tc>
        <w:tc>
          <w:tcPr>
            <w:tcW w:w="711"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770" w:type="dxa"/>
            <w:noWrap w:val="0"/>
            <w:vAlign w:val="center"/>
          </w:tcPr>
          <w:p>
            <w:pPr>
              <w:widowControl w:val="0"/>
              <w:kinsoku/>
              <w:autoSpaceDE/>
              <w:autoSpaceDN/>
              <w:adjustRightInd/>
              <w:snapToGrid/>
              <w:spacing w:line="320" w:lineRule="exact"/>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p>
        </w:tc>
        <w:tc>
          <w:tcPr>
            <w:tcW w:w="4960" w:type="dxa"/>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按照GB/T 36132附录A计算工厂主要物料的绿色物料使用率达30%及以上。</w:t>
            </w:r>
          </w:p>
        </w:tc>
        <w:tc>
          <w:tcPr>
            <w:tcW w:w="2407" w:type="dxa"/>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c>
          <w:tcPr>
            <w:tcW w:w="1275"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可选</w:t>
            </w:r>
          </w:p>
        </w:tc>
        <w:tc>
          <w:tcPr>
            <w:tcW w:w="851"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4</w:t>
            </w:r>
          </w:p>
        </w:tc>
        <w:tc>
          <w:tcPr>
            <w:tcW w:w="711"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770" w:type="dxa"/>
            <w:noWrap w:val="0"/>
            <w:vAlign w:val="center"/>
          </w:tcPr>
          <w:p>
            <w:pPr>
              <w:widowControl w:val="0"/>
              <w:kinsoku/>
              <w:autoSpaceDE/>
              <w:autoSpaceDN/>
              <w:adjustRightInd/>
              <w:snapToGrid/>
              <w:spacing w:line="320" w:lineRule="exact"/>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restart"/>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生产洁净化</w:t>
            </w:r>
          </w:p>
        </w:tc>
        <w:tc>
          <w:tcPr>
            <w:tcW w:w="4960" w:type="dxa"/>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按照GB/T 36132附录A计算单位产品主要污染物产生量（包括化学需氧量、氨氮、二氧化硫、氮氧化物等），指标应不高于行业平均水平。（装备、电子、电器等离散制造业可采用单位产值或单位工业增加值指标。）</w:t>
            </w:r>
          </w:p>
        </w:tc>
        <w:tc>
          <w:tcPr>
            <w:tcW w:w="2407" w:type="dxa"/>
            <w:vMerge w:val="restart"/>
            <w:noWrap w:val="0"/>
            <w:vAlign w:val="center"/>
          </w:tcPr>
          <w:p>
            <w:pPr>
              <w:widowControl w:val="0"/>
              <w:kinsoku/>
              <w:autoSpaceDE/>
              <w:autoSpaceDN/>
              <w:adjustRightInd/>
              <w:snapToGrid/>
              <w:spacing w:line="320" w:lineRule="exact"/>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c>
          <w:tcPr>
            <w:tcW w:w="1275"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必选</w:t>
            </w:r>
          </w:p>
        </w:tc>
        <w:tc>
          <w:tcPr>
            <w:tcW w:w="851"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6</w:t>
            </w:r>
          </w:p>
        </w:tc>
        <w:tc>
          <w:tcPr>
            <w:tcW w:w="711"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770" w:type="dxa"/>
            <w:noWrap w:val="0"/>
            <w:vAlign w:val="center"/>
          </w:tcPr>
          <w:p>
            <w:pPr>
              <w:widowControl w:val="0"/>
              <w:kinsoku/>
              <w:autoSpaceDE/>
              <w:autoSpaceDN/>
              <w:adjustRightInd/>
              <w:snapToGrid/>
              <w:spacing w:line="320" w:lineRule="exact"/>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4960" w:type="dxa"/>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按照GB/T 36132附录A计算单位产品主要污染物产生量（包括化学需氧量、氨氮、二氧化硫、氮氧化物等），指标优于行业前20%水平。（装备、电子、电器等离散制造业可采用单位产值或单位工业增加值指标。）前5%为满分。</w:t>
            </w:r>
          </w:p>
        </w:tc>
        <w:tc>
          <w:tcPr>
            <w:tcW w:w="2407"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275"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可选</w:t>
            </w:r>
          </w:p>
        </w:tc>
        <w:tc>
          <w:tcPr>
            <w:tcW w:w="851"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4</w:t>
            </w:r>
          </w:p>
        </w:tc>
        <w:tc>
          <w:tcPr>
            <w:tcW w:w="711"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770" w:type="dxa"/>
            <w:noWrap w:val="0"/>
            <w:vAlign w:val="center"/>
          </w:tcPr>
          <w:p>
            <w:pPr>
              <w:widowControl w:val="0"/>
              <w:kinsoku/>
              <w:autoSpaceDE/>
              <w:autoSpaceDN/>
              <w:adjustRightInd/>
              <w:snapToGrid/>
              <w:spacing w:line="320" w:lineRule="exact"/>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4960" w:type="dxa"/>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按照GB/T 36132附录A计算单位产品废气产生量，指标应不高于行业平均水平。（装备、电子、电器等离散制造业可采用单位产值或单位工业增加值指标。）</w:t>
            </w:r>
          </w:p>
        </w:tc>
        <w:tc>
          <w:tcPr>
            <w:tcW w:w="2407" w:type="dxa"/>
            <w:vMerge w:val="restart"/>
            <w:noWrap w:val="0"/>
            <w:vAlign w:val="center"/>
          </w:tcPr>
          <w:p>
            <w:pPr>
              <w:widowControl w:val="0"/>
              <w:kinsoku/>
              <w:autoSpaceDE/>
              <w:autoSpaceDN/>
              <w:adjustRightInd/>
              <w:snapToGrid/>
              <w:spacing w:line="320" w:lineRule="exact"/>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c>
          <w:tcPr>
            <w:tcW w:w="1275"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必选</w:t>
            </w:r>
          </w:p>
        </w:tc>
        <w:tc>
          <w:tcPr>
            <w:tcW w:w="851"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6</w:t>
            </w:r>
          </w:p>
        </w:tc>
        <w:tc>
          <w:tcPr>
            <w:tcW w:w="711"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770" w:type="dxa"/>
            <w:noWrap w:val="0"/>
            <w:vAlign w:val="center"/>
          </w:tcPr>
          <w:p>
            <w:pPr>
              <w:widowControl w:val="0"/>
              <w:kinsoku/>
              <w:autoSpaceDE/>
              <w:autoSpaceDN/>
              <w:adjustRightInd/>
              <w:snapToGrid/>
              <w:spacing w:line="320" w:lineRule="exact"/>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4960" w:type="dxa"/>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按照GB/T 36132附录A计算单位产品废气产生量，指标优于行业前20%水平。（装备、电子、电器等离散制造业可采用单位产值或单位工业增加值指标。）前5%为满分。</w:t>
            </w:r>
          </w:p>
        </w:tc>
        <w:tc>
          <w:tcPr>
            <w:tcW w:w="2407"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275"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可选</w:t>
            </w:r>
          </w:p>
        </w:tc>
        <w:tc>
          <w:tcPr>
            <w:tcW w:w="851"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4</w:t>
            </w:r>
          </w:p>
        </w:tc>
        <w:tc>
          <w:tcPr>
            <w:tcW w:w="711"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770" w:type="dxa"/>
            <w:noWrap w:val="0"/>
            <w:vAlign w:val="center"/>
          </w:tcPr>
          <w:p>
            <w:pPr>
              <w:widowControl w:val="0"/>
              <w:kinsoku/>
              <w:autoSpaceDE/>
              <w:autoSpaceDN/>
              <w:adjustRightInd/>
              <w:snapToGrid/>
              <w:spacing w:line="320" w:lineRule="exact"/>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4960" w:type="dxa"/>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按照GB/T 36132附录A计算单位产品废水产生量，指标应不高于行业平均水平。（装备、电子、电器等离散制造业可采用单位产值或单位工业增加值指标。）</w:t>
            </w:r>
          </w:p>
        </w:tc>
        <w:tc>
          <w:tcPr>
            <w:tcW w:w="2407" w:type="dxa"/>
            <w:vMerge w:val="restart"/>
            <w:noWrap w:val="0"/>
            <w:vAlign w:val="center"/>
          </w:tcPr>
          <w:p>
            <w:pPr>
              <w:widowControl w:val="0"/>
              <w:kinsoku/>
              <w:autoSpaceDE/>
              <w:autoSpaceDN/>
              <w:adjustRightInd/>
              <w:snapToGrid/>
              <w:spacing w:line="320" w:lineRule="exact"/>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c>
          <w:tcPr>
            <w:tcW w:w="1275"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必选</w:t>
            </w:r>
          </w:p>
        </w:tc>
        <w:tc>
          <w:tcPr>
            <w:tcW w:w="851"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6</w:t>
            </w:r>
          </w:p>
        </w:tc>
        <w:tc>
          <w:tcPr>
            <w:tcW w:w="711"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770" w:type="dxa"/>
            <w:noWrap w:val="0"/>
            <w:vAlign w:val="center"/>
          </w:tcPr>
          <w:p>
            <w:pPr>
              <w:widowControl w:val="0"/>
              <w:kinsoku/>
              <w:autoSpaceDE/>
              <w:autoSpaceDN/>
              <w:adjustRightInd/>
              <w:snapToGrid/>
              <w:spacing w:line="320" w:lineRule="exact"/>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4960" w:type="dxa"/>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按照GB/T 36132附录A计算单位产品废水产生量，指标优于行业前20%水平。（装备、电子、电器等离散制造业可采用单位产值或单位工业增加值指标。）前5%为满分。</w:t>
            </w:r>
          </w:p>
        </w:tc>
        <w:tc>
          <w:tcPr>
            <w:tcW w:w="2407"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275"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可选</w:t>
            </w:r>
          </w:p>
        </w:tc>
        <w:tc>
          <w:tcPr>
            <w:tcW w:w="851"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4</w:t>
            </w:r>
          </w:p>
        </w:tc>
        <w:tc>
          <w:tcPr>
            <w:tcW w:w="711"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770" w:type="dxa"/>
            <w:noWrap w:val="0"/>
            <w:vAlign w:val="center"/>
          </w:tcPr>
          <w:p>
            <w:pPr>
              <w:widowControl w:val="0"/>
              <w:kinsoku/>
              <w:autoSpaceDE/>
              <w:autoSpaceDN/>
              <w:adjustRightInd/>
              <w:snapToGrid/>
              <w:spacing w:line="320" w:lineRule="exact"/>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restart"/>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废物资源化</w:t>
            </w:r>
          </w:p>
        </w:tc>
        <w:tc>
          <w:tcPr>
            <w:tcW w:w="4960" w:type="dxa"/>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按照GB/T 36132附录A计算单位产品主要原材料消耗量，指标应不高于行业平均水平。</w:t>
            </w:r>
          </w:p>
        </w:tc>
        <w:tc>
          <w:tcPr>
            <w:tcW w:w="2407" w:type="dxa"/>
            <w:vMerge w:val="restart"/>
            <w:noWrap w:val="0"/>
            <w:vAlign w:val="center"/>
          </w:tcPr>
          <w:p>
            <w:pPr>
              <w:widowControl w:val="0"/>
              <w:kinsoku/>
              <w:autoSpaceDE/>
              <w:autoSpaceDN/>
              <w:adjustRightInd/>
              <w:snapToGrid/>
              <w:spacing w:line="320" w:lineRule="exact"/>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c>
          <w:tcPr>
            <w:tcW w:w="1275"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必选</w:t>
            </w:r>
          </w:p>
        </w:tc>
        <w:tc>
          <w:tcPr>
            <w:tcW w:w="851"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6</w:t>
            </w:r>
          </w:p>
        </w:tc>
        <w:tc>
          <w:tcPr>
            <w:tcW w:w="711"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770" w:type="dxa"/>
            <w:noWrap w:val="0"/>
            <w:vAlign w:val="center"/>
          </w:tcPr>
          <w:p>
            <w:pPr>
              <w:widowControl w:val="0"/>
              <w:kinsoku/>
              <w:autoSpaceDE/>
              <w:autoSpaceDN/>
              <w:adjustRightInd/>
              <w:snapToGrid/>
              <w:spacing w:line="320" w:lineRule="exact"/>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p>
        </w:tc>
        <w:tc>
          <w:tcPr>
            <w:tcW w:w="4960" w:type="dxa"/>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按照GB/T 36132附录A计算单位产品主要原材料消耗量，指标优于行业前20%水平，前5%为满分。</w:t>
            </w:r>
          </w:p>
        </w:tc>
        <w:tc>
          <w:tcPr>
            <w:tcW w:w="2407"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275"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可选</w:t>
            </w:r>
          </w:p>
        </w:tc>
        <w:tc>
          <w:tcPr>
            <w:tcW w:w="851"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4</w:t>
            </w:r>
          </w:p>
        </w:tc>
        <w:tc>
          <w:tcPr>
            <w:tcW w:w="711"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770" w:type="dxa"/>
            <w:noWrap w:val="0"/>
            <w:vAlign w:val="center"/>
          </w:tcPr>
          <w:p>
            <w:pPr>
              <w:widowControl w:val="0"/>
              <w:kinsoku/>
              <w:autoSpaceDE/>
              <w:autoSpaceDN/>
              <w:adjustRightInd/>
              <w:snapToGrid/>
              <w:spacing w:line="320" w:lineRule="exact"/>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p>
        </w:tc>
        <w:tc>
          <w:tcPr>
            <w:tcW w:w="4960" w:type="dxa"/>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按照GB/T 36132附录A计算工业固体废物综合利用率，指标应大于65%（根据行业特点，该指标可在±20%之间选取）。</w:t>
            </w:r>
          </w:p>
        </w:tc>
        <w:tc>
          <w:tcPr>
            <w:tcW w:w="2407" w:type="dxa"/>
            <w:vMerge w:val="restart"/>
            <w:noWrap w:val="0"/>
            <w:vAlign w:val="center"/>
          </w:tcPr>
          <w:p>
            <w:pPr>
              <w:widowControl w:val="0"/>
              <w:kinsoku/>
              <w:autoSpaceDE/>
              <w:autoSpaceDN/>
              <w:adjustRightInd/>
              <w:snapToGrid/>
              <w:spacing w:line="320" w:lineRule="exact"/>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c>
          <w:tcPr>
            <w:tcW w:w="1275"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必选</w:t>
            </w:r>
          </w:p>
        </w:tc>
        <w:tc>
          <w:tcPr>
            <w:tcW w:w="851"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6</w:t>
            </w:r>
          </w:p>
        </w:tc>
        <w:tc>
          <w:tcPr>
            <w:tcW w:w="711"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770" w:type="dxa"/>
            <w:noWrap w:val="0"/>
            <w:vAlign w:val="center"/>
          </w:tcPr>
          <w:p>
            <w:pPr>
              <w:widowControl w:val="0"/>
              <w:kinsoku/>
              <w:autoSpaceDE/>
              <w:autoSpaceDN/>
              <w:adjustRightInd/>
              <w:snapToGrid/>
              <w:spacing w:line="320" w:lineRule="exact"/>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p>
        </w:tc>
        <w:tc>
          <w:tcPr>
            <w:tcW w:w="4960" w:type="dxa"/>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按照GB/T 36132附录A计算工业固体废物综合利用率，指标达到73%（根据行业特点，该指标可在±20%之间选取），90%为满分。</w:t>
            </w:r>
          </w:p>
        </w:tc>
        <w:tc>
          <w:tcPr>
            <w:tcW w:w="2407"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275"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可选</w:t>
            </w:r>
          </w:p>
        </w:tc>
        <w:tc>
          <w:tcPr>
            <w:tcW w:w="851"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4</w:t>
            </w:r>
          </w:p>
        </w:tc>
        <w:tc>
          <w:tcPr>
            <w:tcW w:w="711"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770" w:type="dxa"/>
            <w:noWrap w:val="0"/>
            <w:vAlign w:val="center"/>
          </w:tcPr>
          <w:p>
            <w:pPr>
              <w:widowControl w:val="0"/>
              <w:kinsoku/>
              <w:autoSpaceDE/>
              <w:autoSpaceDN/>
              <w:adjustRightInd/>
              <w:snapToGrid/>
              <w:spacing w:line="320" w:lineRule="exact"/>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p>
        </w:tc>
        <w:tc>
          <w:tcPr>
            <w:tcW w:w="4960" w:type="dxa"/>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按照GB/T 36132附录A计算废水处理回用率，指标高于行业平均值。</w:t>
            </w:r>
          </w:p>
        </w:tc>
        <w:tc>
          <w:tcPr>
            <w:tcW w:w="2407" w:type="dxa"/>
            <w:vMerge w:val="restart"/>
            <w:noWrap w:val="0"/>
            <w:vAlign w:val="center"/>
          </w:tcPr>
          <w:p>
            <w:pPr>
              <w:widowControl w:val="0"/>
              <w:kinsoku/>
              <w:autoSpaceDE/>
              <w:autoSpaceDN/>
              <w:adjustRightInd/>
              <w:snapToGrid/>
              <w:spacing w:line="320" w:lineRule="exact"/>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c>
          <w:tcPr>
            <w:tcW w:w="1275"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必选</w:t>
            </w:r>
          </w:p>
        </w:tc>
        <w:tc>
          <w:tcPr>
            <w:tcW w:w="851"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6</w:t>
            </w:r>
          </w:p>
        </w:tc>
        <w:tc>
          <w:tcPr>
            <w:tcW w:w="711"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770" w:type="dxa"/>
            <w:noWrap w:val="0"/>
            <w:vAlign w:val="center"/>
          </w:tcPr>
          <w:p>
            <w:pPr>
              <w:widowControl w:val="0"/>
              <w:kinsoku/>
              <w:autoSpaceDE/>
              <w:autoSpaceDN/>
              <w:adjustRightInd/>
              <w:snapToGrid/>
              <w:spacing w:line="320" w:lineRule="exact"/>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p>
        </w:tc>
        <w:tc>
          <w:tcPr>
            <w:tcW w:w="4960" w:type="dxa"/>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按照GB/T 36132附录A计算废水处理回用率，指标优于行业前20%水平，前5%为满分。</w:t>
            </w:r>
          </w:p>
        </w:tc>
        <w:tc>
          <w:tcPr>
            <w:tcW w:w="2407"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275"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可选</w:t>
            </w:r>
          </w:p>
        </w:tc>
        <w:tc>
          <w:tcPr>
            <w:tcW w:w="851"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4</w:t>
            </w:r>
          </w:p>
        </w:tc>
        <w:tc>
          <w:tcPr>
            <w:tcW w:w="711"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770" w:type="dxa"/>
            <w:noWrap w:val="0"/>
            <w:vAlign w:val="center"/>
          </w:tcPr>
          <w:p>
            <w:pPr>
              <w:widowControl w:val="0"/>
              <w:kinsoku/>
              <w:autoSpaceDE/>
              <w:autoSpaceDN/>
              <w:adjustRightInd/>
              <w:snapToGrid/>
              <w:spacing w:line="320" w:lineRule="exact"/>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restart"/>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能源低碳化</w:t>
            </w:r>
          </w:p>
        </w:tc>
        <w:tc>
          <w:tcPr>
            <w:tcW w:w="4960" w:type="dxa"/>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按照GB/T 36132附录A计算单位产品综合能耗，指标应符合相关国家、行业标准中的限额要求。未制定相关标准的，应达到行业平均水平。（装备、电子、电器等离散制造业可采用单位产值或单位工业增加值指标。）</w:t>
            </w:r>
          </w:p>
        </w:tc>
        <w:tc>
          <w:tcPr>
            <w:tcW w:w="2407" w:type="dxa"/>
            <w:vMerge w:val="restart"/>
            <w:noWrap w:val="0"/>
            <w:vAlign w:val="center"/>
          </w:tcPr>
          <w:p>
            <w:pPr>
              <w:widowControl w:val="0"/>
              <w:kinsoku/>
              <w:autoSpaceDE/>
              <w:autoSpaceDN/>
              <w:adjustRightInd/>
              <w:snapToGrid/>
              <w:spacing w:line="320" w:lineRule="exact"/>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c>
          <w:tcPr>
            <w:tcW w:w="1275"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必选</w:t>
            </w:r>
          </w:p>
        </w:tc>
        <w:tc>
          <w:tcPr>
            <w:tcW w:w="851"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6</w:t>
            </w:r>
          </w:p>
        </w:tc>
        <w:tc>
          <w:tcPr>
            <w:tcW w:w="711"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770" w:type="dxa"/>
            <w:noWrap w:val="0"/>
            <w:vAlign w:val="center"/>
          </w:tcPr>
          <w:p>
            <w:pPr>
              <w:widowControl w:val="0"/>
              <w:kinsoku/>
              <w:autoSpaceDE/>
              <w:autoSpaceDN/>
              <w:adjustRightInd/>
              <w:snapToGrid/>
              <w:spacing w:line="320" w:lineRule="exact"/>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4960" w:type="dxa"/>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按照GB/T 36132附录A计算单位产品综合能耗，指标达到相关国家、行业标准中的先进值要求。未制定相关标准的，应优于行业前20%水平。（装备、电子、电器等离散制造业可采用单位产值或单位工业增加值指标。）前5%为满分。</w:t>
            </w:r>
          </w:p>
        </w:tc>
        <w:tc>
          <w:tcPr>
            <w:tcW w:w="2407"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275"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可选</w:t>
            </w:r>
          </w:p>
        </w:tc>
        <w:tc>
          <w:tcPr>
            <w:tcW w:w="851"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4</w:t>
            </w:r>
          </w:p>
        </w:tc>
        <w:tc>
          <w:tcPr>
            <w:tcW w:w="711"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770" w:type="dxa"/>
            <w:noWrap w:val="0"/>
            <w:vAlign w:val="center"/>
          </w:tcPr>
          <w:p>
            <w:pPr>
              <w:widowControl w:val="0"/>
              <w:kinsoku/>
              <w:autoSpaceDE/>
              <w:autoSpaceDN/>
              <w:adjustRightInd/>
              <w:snapToGrid/>
              <w:spacing w:line="320" w:lineRule="exact"/>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4960" w:type="dxa"/>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按照GB/T 36132附录A计算单位产品碳排放量，指标应优于行业平均水平。（装备、电子、电器等离散制造业可采用单位产值或单位工业增加值指标。）</w:t>
            </w:r>
          </w:p>
        </w:tc>
        <w:tc>
          <w:tcPr>
            <w:tcW w:w="2407" w:type="dxa"/>
            <w:vMerge w:val="restart"/>
            <w:noWrap w:val="0"/>
            <w:vAlign w:val="center"/>
          </w:tcPr>
          <w:p>
            <w:pPr>
              <w:widowControl w:val="0"/>
              <w:kinsoku/>
              <w:autoSpaceDE/>
              <w:autoSpaceDN/>
              <w:adjustRightInd/>
              <w:snapToGrid/>
              <w:spacing w:line="320" w:lineRule="exact"/>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c>
          <w:tcPr>
            <w:tcW w:w="1275"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必选</w:t>
            </w:r>
          </w:p>
        </w:tc>
        <w:tc>
          <w:tcPr>
            <w:tcW w:w="851"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3</w:t>
            </w:r>
          </w:p>
        </w:tc>
        <w:tc>
          <w:tcPr>
            <w:tcW w:w="711"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770" w:type="dxa"/>
            <w:noWrap w:val="0"/>
            <w:vAlign w:val="center"/>
          </w:tcPr>
          <w:p>
            <w:pPr>
              <w:widowControl w:val="0"/>
              <w:kinsoku/>
              <w:autoSpaceDE/>
              <w:autoSpaceDN/>
              <w:adjustRightInd/>
              <w:snapToGrid/>
              <w:spacing w:line="320" w:lineRule="exact"/>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704"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135"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4960" w:type="dxa"/>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按照GB/T 36132附录A计算单位产品碳排放量，指标优于行业前20%水平。（装备、电子、电器等离散制造业可采用单位产值或单位工业增加值指标。）前5%为满分。</w:t>
            </w:r>
          </w:p>
        </w:tc>
        <w:tc>
          <w:tcPr>
            <w:tcW w:w="2407"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1275"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可选</w:t>
            </w:r>
          </w:p>
        </w:tc>
        <w:tc>
          <w:tcPr>
            <w:tcW w:w="851" w:type="dxa"/>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2</w:t>
            </w:r>
          </w:p>
        </w:tc>
        <w:tc>
          <w:tcPr>
            <w:tcW w:w="711" w:type="dxa"/>
            <w:vMerge w:val="continue"/>
            <w:noWrap w:val="0"/>
            <w:vAlign w:val="center"/>
          </w:tcPr>
          <w:p>
            <w:pPr>
              <w:widowControl w:val="0"/>
              <w:kinsoku/>
              <w:autoSpaceDE/>
              <w:autoSpaceDN/>
              <w:adjustRightInd/>
              <w:snapToGrid/>
              <w:spacing w:line="320" w:lineRule="exact"/>
              <w:jc w:val="both"/>
              <w:textAlignment w:val="auto"/>
              <w:rPr>
                <w:rFonts w:ascii="Times New Roman" w:hAnsi="Times New Roman" w:eastAsia="仿宋_GB2312" w:cs="Times New Roman"/>
                <w:snapToGrid/>
                <w:kern w:val="2"/>
                <w:sz w:val="24"/>
                <w:szCs w:val="24"/>
              </w:rPr>
            </w:pPr>
          </w:p>
        </w:tc>
        <w:tc>
          <w:tcPr>
            <w:tcW w:w="770" w:type="dxa"/>
            <w:noWrap w:val="0"/>
            <w:vAlign w:val="center"/>
          </w:tcPr>
          <w:p>
            <w:pPr>
              <w:widowControl w:val="0"/>
              <w:kinsoku/>
              <w:autoSpaceDE/>
              <w:autoSpaceDN/>
              <w:adjustRightInd/>
              <w:snapToGrid/>
              <w:spacing w:line="320" w:lineRule="exact"/>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jc w:val="center"/>
        </w:trPr>
        <w:tc>
          <w:tcPr>
            <w:tcW w:w="13178" w:type="dxa"/>
            <w:gridSpan w:val="8"/>
            <w:noWrap w:val="0"/>
            <w:vAlign w:val="center"/>
          </w:tcPr>
          <w:p>
            <w:pPr>
              <w:widowControl w:val="0"/>
              <w:kinsoku/>
              <w:autoSpaceDE/>
              <w:autoSpaceDN/>
              <w:adjustRightInd/>
              <w:snapToGrid/>
              <w:spacing w:line="320" w:lineRule="exact"/>
              <w:jc w:val="center"/>
              <w:textAlignment w:val="auto"/>
              <w:rPr>
                <w:rFonts w:ascii="Times New Roman" w:hAnsi="Times New Roman" w:eastAsia="仿宋_GB2312" w:cs="Times New Roman"/>
                <w:snapToGrid/>
                <w:kern w:val="2"/>
                <w:sz w:val="24"/>
                <w:szCs w:val="24"/>
              </w:rPr>
            </w:pPr>
            <w:r>
              <w:rPr>
                <w:rFonts w:ascii="Times New Roman" w:hAnsi="Times New Roman" w:eastAsia="仿宋_GB2312" w:cs="Times New Roman"/>
                <w:snapToGrid/>
                <w:kern w:val="2"/>
                <w:sz w:val="24"/>
                <w:szCs w:val="24"/>
              </w:rPr>
              <w:t>总分</w:t>
            </w:r>
          </w:p>
        </w:tc>
        <w:tc>
          <w:tcPr>
            <w:tcW w:w="770" w:type="dxa"/>
            <w:noWrap w:val="0"/>
            <w:vAlign w:val="center"/>
          </w:tcPr>
          <w:p>
            <w:pPr>
              <w:widowControl w:val="0"/>
              <w:kinsoku/>
              <w:autoSpaceDE/>
              <w:autoSpaceDN/>
              <w:adjustRightInd/>
              <w:snapToGrid/>
              <w:spacing w:line="320" w:lineRule="exact"/>
              <w:textAlignment w:val="auto"/>
              <w:rPr>
                <w:rFonts w:ascii="Times New Roman" w:hAnsi="Times New Roman" w:eastAsia="仿宋_GB2312" w:cs="Times New Roman"/>
                <w:snapToGrid/>
                <w:kern w:val="2"/>
                <w:sz w:val="24"/>
                <w:szCs w:val="24"/>
              </w:rPr>
            </w:pPr>
          </w:p>
        </w:tc>
      </w:tr>
    </w:tbl>
    <w:p>
      <w:pPr>
        <w:widowControl w:val="0"/>
        <w:kinsoku/>
        <w:autoSpaceDE/>
        <w:autoSpaceDN/>
        <w:adjustRightInd/>
        <w:spacing w:line="480" w:lineRule="auto"/>
        <w:jc w:val="both"/>
        <w:textAlignment w:val="auto"/>
        <w:outlineLvl w:val="0"/>
        <w:sectPr>
          <w:pgSz w:w="16838" w:h="11906" w:orient="landscape"/>
          <w:pgMar w:top="2098" w:right="1247" w:bottom="1417" w:left="1587" w:header="1361" w:footer="992" w:gutter="0"/>
          <w:paperSrc/>
          <w:pgNumType w:fmt="numberInDash"/>
          <w:cols w:space="0" w:num="1"/>
          <w:rtlGutter w:val="0"/>
          <w:docGrid w:type="lines" w:linePitch="312" w:charSpace="0"/>
        </w:sectPr>
      </w:pPr>
      <w:r>
        <w:rPr>
          <w:rFonts w:ascii="Times New Roman" w:hAnsi="Times New Roman" w:eastAsia="仿宋_GB2312" w:cs="Times New Roman"/>
          <w:snapToGrid/>
          <w:kern w:val="2"/>
          <w:sz w:val="24"/>
          <w:szCs w:val="24"/>
        </w:rPr>
        <w:t>注：绿色工厂必须满足各项必选要求，可选要求按照受评工厂满足程度在0分到满分中取值。</w:t>
      </w:r>
      <w:bookmarkStart w:id="0" w:name="_GoBack"/>
      <w:bookmarkEnd w:id="0"/>
    </w:p>
    <w:p/>
    <w:sectPr>
      <w:pgSz w:w="16838" w:h="11906" w:orient="landscape"/>
      <w:pgMar w:top="1587" w:right="2098" w:bottom="1247" w:left="1417" w:header="136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文鼎CS仿宋体">
    <w:altName w:val="方正仿宋_GBK"/>
    <w:panose1 w:val="02010609010101010101"/>
    <w:charset w:val="86"/>
    <w:family w:val="modern"/>
    <w:pitch w:val="default"/>
    <w:sig w:usb0="00000000" w:usb1="00000000" w:usb2="00000010" w:usb3="00000000" w:csb0="0004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仿宋简体">
    <w:altName w:val="方正仿宋_GBK"/>
    <w:panose1 w:val="02010601030101010101"/>
    <w:charset w:val="00"/>
    <w:family w:val="auto"/>
    <w:pitch w:val="default"/>
    <w:sig w:usb0="00000000" w:usb1="00000000" w:usb2="00000010" w:usb3="00000000" w:csb0="00040000" w:csb1="00000000"/>
  </w:font>
  <w:font w:name="方正大标宋简体">
    <w:altName w:val="宋体"/>
    <w:panose1 w:val="02010601030101010101"/>
    <w:charset w:val="00"/>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45B86C39"/>
    <w:rsid w:val="4A1947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5">
    <w:name w:val="List Paragraph"/>
    <w:basedOn w:val="1"/>
    <w:qFormat/>
    <w:uiPriority w:val="34"/>
    <w:pPr>
      <w:widowControl/>
      <w:spacing w:before="100" w:beforeAutospacing="1" w:after="100" w:afterAutospacing="1"/>
      <w:jc w:val="left"/>
    </w:pPr>
    <w:rPr>
      <w:rFonts w:ascii="宋体" w:hAnsi="宋体" w:eastAsia="宋体" w:cs="宋体"/>
      <w:kern w:val="0"/>
      <w:sz w:val="24"/>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Office_11.8.2.10195_F1E327BC-269C-435d-A152-05C5408002CA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2018-07-11T15:11:00Z</dcterms:created>
  <dc:creator>d</dc:creator>
  <cp:lastModifiedBy>greatwall</cp:lastModifiedBy>
  <dcterms:modified xsi:type="dcterms:W3CDTF">2023-12-28T10:16:20Z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ies>
</file>