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66" w:rsidRDefault="001C3A66" w:rsidP="001C3A66">
      <w:pPr>
        <w:pStyle w:val="a6"/>
        <w:adjustRightInd w:val="0"/>
        <w:snapToGrid w:val="0"/>
        <w:spacing w:before="0" w:beforeAutospacing="0" w:after="0" w:afterAutospacing="0" w:line="600" w:lineRule="exact"/>
        <w:jc w:val="both"/>
        <w:rPr>
          <w:rStyle w:val="a5"/>
          <w:rFonts w:ascii="Times New Roman" w:eastAsia="黑体" w:hAnsi="Times New Roman"/>
          <w:b w:val="0"/>
          <w:color w:val="060607"/>
          <w:spacing w:val="4"/>
          <w:sz w:val="32"/>
          <w:szCs w:val="32"/>
          <w:shd w:val="clear" w:color="auto" w:fill="FFFFFF"/>
        </w:rPr>
      </w:pPr>
      <w:bookmarkStart w:id="0" w:name="_GoBack"/>
      <w:r>
        <w:rPr>
          <w:rStyle w:val="a5"/>
          <w:rFonts w:ascii="Times New Roman" w:eastAsia="黑体" w:hAnsi="Times New Roman" w:hint="eastAsia"/>
          <w:b w:val="0"/>
          <w:color w:val="060607"/>
          <w:spacing w:val="4"/>
          <w:sz w:val="32"/>
          <w:szCs w:val="32"/>
          <w:shd w:val="clear" w:color="auto" w:fill="FFFFFF"/>
        </w:rPr>
        <w:t>附件</w:t>
      </w:r>
      <w:r>
        <w:rPr>
          <w:rStyle w:val="a5"/>
          <w:rFonts w:ascii="Times New Roman" w:eastAsia="黑体" w:hAnsi="Times New Roman"/>
          <w:b w:val="0"/>
          <w:color w:val="060607"/>
          <w:spacing w:val="4"/>
          <w:sz w:val="32"/>
          <w:szCs w:val="32"/>
          <w:shd w:val="clear" w:color="auto" w:fill="FFFFFF"/>
        </w:rPr>
        <w:t>3</w:t>
      </w:r>
    </w:p>
    <w:p w:rsidR="001C3A66" w:rsidRDefault="001C3A66" w:rsidP="001C3A66">
      <w:pPr>
        <w:pStyle w:val="a6"/>
        <w:adjustRightInd w:val="0"/>
        <w:snapToGrid w:val="0"/>
        <w:spacing w:before="0" w:beforeAutospacing="0" w:after="0" w:afterAutospacing="0" w:line="600" w:lineRule="exact"/>
        <w:jc w:val="both"/>
        <w:rPr>
          <w:rStyle w:val="a5"/>
          <w:rFonts w:ascii="Times New Roman" w:eastAsia="黑体" w:hAnsi="Times New Roman"/>
          <w:b w:val="0"/>
          <w:color w:val="060607"/>
          <w:spacing w:val="4"/>
          <w:sz w:val="32"/>
          <w:szCs w:val="32"/>
          <w:shd w:val="clear" w:color="auto" w:fill="FFFFFF"/>
        </w:rPr>
      </w:pPr>
    </w:p>
    <w:p w:rsidR="001C3A66" w:rsidRDefault="001C3A66" w:rsidP="001C3A66">
      <w:pPr>
        <w:pStyle w:val="a6"/>
        <w:adjustRightInd w:val="0"/>
        <w:snapToGrid w:val="0"/>
        <w:spacing w:before="0" w:beforeAutospacing="0" w:after="0" w:afterAutospacing="0" w:line="600" w:lineRule="exact"/>
        <w:jc w:val="center"/>
        <w:rPr>
          <w:rStyle w:val="a5"/>
          <w:rFonts w:ascii="Times New Roman" w:eastAsia="方正公文小标宋" w:hAnsi="Times New Roman"/>
          <w:b w:val="0"/>
          <w:color w:val="060607"/>
          <w:spacing w:val="4"/>
          <w:sz w:val="44"/>
          <w:szCs w:val="44"/>
          <w:shd w:val="clear" w:color="auto" w:fill="FFFFFF"/>
        </w:rPr>
      </w:pPr>
      <w:r>
        <w:rPr>
          <w:rStyle w:val="a5"/>
          <w:rFonts w:ascii="Times New Roman" w:eastAsia="方正公文小标宋" w:hAnsi="Times New Roman"/>
          <w:b w:val="0"/>
          <w:color w:val="060607"/>
          <w:spacing w:val="4"/>
          <w:sz w:val="44"/>
          <w:szCs w:val="44"/>
          <w:shd w:val="clear" w:color="auto" w:fill="FFFFFF"/>
        </w:rPr>
        <w:t>工业和信息化部等七部门关于推动未来产业创新发展的实施意见（节选）</w:t>
      </w:r>
    </w:p>
    <w:bookmarkEnd w:id="0"/>
    <w:p w:rsidR="001C3A66" w:rsidRDefault="001C3A66" w:rsidP="001C3A66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一、前瞻部署新赛道</w:t>
      </w:r>
    </w:p>
    <w:p w:rsidR="001C3A66" w:rsidRDefault="001C3A66" w:rsidP="001C3A66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未来制造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发展智能制造、生物制造、纳米制造、激光制造、循环制造，突破智能控制、智能传感、模拟仿真等关键核心技术，推广柔性制造、共享制造等模式，推动工业互联网、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工业元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宇宙等发展。</w:t>
      </w:r>
    </w:p>
    <w:p w:rsidR="001C3A66" w:rsidRDefault="001C3A66" w:rsidP="001C3A66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未来信息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推动下一代移动通信、卫星互联网、量子信息等技术产业化应用，加快量子、光子等计算技术创新突破，加速类脑智能、群体智能、大模型等深度赋能，加速培育智能产业。</w:t>
      </w:r>
    </w:p>
    <w:p w:rsidR="001C3A66" w:rsidRDefault="001C3A66" w:rsidP="001C3A66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未来材料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推动有色金属、化工、无机非金属等先进基础材料升级，发展高性能碳纤维、先进半导体等关键战略材料，加快超导材料等前沿新材料创新应用。</w:t>
      </w:r>
    </w:p>
    <w:p w:rsidR="001C3A66" w:rsidRDefault="001C3A66" w:rsidP="001C3A66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未来能源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聚焦核能、核聚变、氢能、生物质能等重点领域，打造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采集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存储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运输</w:t>
      </w:r>
      <w:r>
        <w:rPr>
          <w:rFonts w:ascii="Times New Roman" w:eastAsia="仿宋" w:hAnsi="Times New Roman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应用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全链条的未来能源装备体系。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研发新型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晶硅太阳能电池、薄膜太阳能电池等高效太阳能电池及相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关电子专用设备，加快发展新型储能，推动能源电子产业融合升级。</w:t>
      </w:r>
    </w:p>
    <w:p w:rsidR="001C3A66" w:rsidRDefault="001C3A66" w:rsidP="001C3A66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未来空间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聚焦空天、深海、深地等领域，研制载人航天、探月探火、卫星导航、临空无人系统、先进高效航空器等高端装备，加快深海潜水器、深海作业装备、深海搜救探测设备、深海智能无人平台等研制及创新应用，推动深地资源探采、城市地下空间开发利用、极地探测与作业等领域装备研制。</w:t>
      </w:r>
    </w:p>
    <w:p w:rsidR="001C3A66" w:rsidRDefault="001C3A66" w:rsidP="001C3A66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未来健康</w:t>
      </w:r>
    </w:p>
    <w:p w:rsidR="001C3A66" w:rsidRDefault="001C3A66" w:rsidP="001C3A6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加快细胞和基因技术、合成生物、生物育种等前沿技术产业化，推动</w:t>
      </w:r>
      <w:r>
        <w:rPr>
          <w:rFonts w:ascii="Times New Roman" w:eastAsia="仿宋" w:hAnsi="Times New Roman"/>
          <w:sz w:val="32"/>
          <w:szCs w:val="32"/>
        </w:rPr>
        <w:t>5G/6G</w:t>
      </w:r>
      <w:r>
        <w:rPr>
          <w:rFonts w:ascii="Times New Roman" w:eastAsia="仿宋" w:hAnsi="Times New Roman" w:hint="eastAsia"/>
          <w:sz w:val="32"/>
          <w:szCs w:val="32"/>
        </w:rPr>
        <w:t>、元宇宙、人工智能等技术赋能新型医疗服务，研发融合数字孪生、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脑机交互等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先进技术的高端医疗装备和健康用品。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二、创新标志性产品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人形机器人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突破机器人高转矩密度伺服电机、高动态运动规划与控制、仿生感知与认知、智能灵巧手、电子皮肤等核心技术，重点推进智能制造、家庭服务、特殊环境作业等领域产品的研制及应用。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量子计算机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加强可容错通用量子计算技术研发，提升物理硬件指标和算法纠错性能，推动量子软件、量子云平台协同布置，发挥量子计算的优越性，探索向垂直行业应用渗透。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新型显示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加快量子点显示、全息显示等研究，突破</w:t>
      </w:r>
      <w:r>
        <w:rPr>
          <w:rFonts w:ascii="Times New Roman" w:eastAsia="仿宋" w:hAnsi="Times New Roman"/>
          <w:sz w:val="32"/>
          <w:szCs w:val="32"/>
        </w:rPr>
        <w:t>Micro-LED</w:t>
      </w:r>
      <w:r>
        <w:rPr>
          <w:rFonts w:ascii="Times New Roman" w:eastAsia="仿宋" w:hAnsi="Times New Roman" w:hint="eastAsia"/>
          <w:sz w:val="32"/>
          <w:szCs w:val="32"/>
        </w:rPr>
        <w:t>、激光、印刷等显示技术并实现规模化应用，实现无障碍、全柔性、</w:t>
      </w:r>
      <w:r>
        <w:rPr>
          <w:rFonts w:ascii="Times New Roman" w:eastAsia="仿宋" w:hAnsi="Times New Roman"/>
          <w:sz w:val="32"/>
          <w:szCs w:val="32"/>
        </w:rPr>
        <w:t>3D</w:t>
      </w:r>
      <w:r>
        <w:rPr>
          <w:rFonts w:ascii="Times New Roman" w:eastAsia="仿宋" w:hAnsi="Times New Roman" w:hint="eastAsia"/>
          <w:sz w:val="32"/>
          <w:szCs w:val="32"/>
        </w:rPr>
        <w:t>立体等显示效果，加快在智能终端、智能网联汽车、远程连接、文化内容呈现等场景中推广。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proofErr w:type="gramStart"/>
      <w:r>
        <w:rPr>
          <w:rFonts w:ascii="Times New Roman" w:eastAsia="楷体_GB2312" w:hAnsi="Times New Roman" w:hint="eastAsia"/>
          <w:sz w:val="32"/>
          <w:szCs w:val="32"/>
        </w:rPr>
        <w:t>脑机接口</w:t>
      </w:r>
      <w:proofErr w:type="gramEnd"/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proofErr w:type="gramStart"/>
      <w:r>
        <w:rPr>
          <w:rFonts w:ascii="Times New Roman" w:eastAsia="仿宋" w:hAnsi="Times New Roman" w:hint="eastAsia"/>
          <w:sz w:val="32"/>
          <w:szCs w:val="32"/>
        </w:rPr>
        <w:t>突破脑机融合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、类脑芯片、大脑计算神经模型等关键技术和核心器件，研制一批易用安全的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脑机接口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产品，鼓励探索在医疗康复、无人驾驶、虚拟现实等典型领域的应用。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6G</w:t>
      </w:r>
      <w:r>
        <w:rPr>
          <w:rFonts w:ascii="Times New Roman" w:eastAsia="楷体_GB2312" w:hAnsi="Times New Roman" w:hint="eastAsia"/>
          <w:sz w:val="32"/>
          <w:szCs w:val="32"/>
        </w:rPr>
        <w:t>网络设备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开展先进无线通信、新型网络架构、跨域融合、空天地一体、网络与数据安全等技术研究，研制无线关键技术概念样机，形成以全息通信、数字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孪生等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为代表的特色应用。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超大规模</w:t>
      </w:r>
      <w:proofErr w:type="gramStart"/>
      <w:r>
        <w:rPr>
          <w:rFonts w:ascii="Times New Roman" w:eastAsia="楷体_GB2312" w:hAnsi="Times New Roman" w:hint="eastAsia"/>
          <w:sz w:val="32"/>
          <w:szCs w:val="32"/>
        </w:rPr>
        <w:t>新型智算</w:t>
      </w:r>
      <w:proofErr w:type="gramEnd"/>
      <w:r>
        <w:rPr>
          <w:rFonts w:ascii="Times New Roman" w:eastAsia="楷体_GB2312" w:hAnsi="Times New Roman" w:hint="eastAsia"/>
          <w:sz w:val="32"/>
          <w:szCs w:val="32"/>
        </w:rPr>
        <w:t>中心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加快突破</w:t>
      </w:r>
      <w:r>
        <w:rPr>
          <w:rFonts w:ascii="Times New Roman" w:eastAsia="仿宋" w:hAnsi="Times New Roman"/>
          <w:sz w:val="32"/>
          <w:szCs w:val="32"/>
        </w:rPr>
        <w:t>GPU</w:t>
      </w:r>
      <w:r>
        <w:rPr>
          <w:rFonts w:ascii="Times New Roman" w:eastAsia="仿宋" w:hAnsi="Times New Roman" w:hint="eastAsia"/>
          <w:sz w:val="32"/>
          <w:szCs w:val="32"/>
        </w:rPr>
        <w:t>芯片、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集群低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时延互连网络、异构资源管理等技术，建设超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大规模智算中心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，满足大模型迭代训练和应用推理需求。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第三代互联网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proofErr w:type="gramStart"/>
      <w:r>
        <w:rPr>
          <w:rFonts w:ascii="Times New Roman" w:eastAsia="仿宋" w:hAnsi="Times New Roman" w:hint="eastAsia"/>
          <w:sz w:val="32"/>
          <w:szCs w:val="32"/>
        </w:rPr>
        <w:t>推动第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三代互联网在数据交易所应用试点，探索利用区块链技术打通重点行业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及领域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各主体平台数据，研究第三代互联网数字身份认证体系，建立数据治理和交易流通机制，形成可复制可推广的典型案例。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proofErr w:type="gramStart"/>
      <w:r>
        <w:rPr>
          <w:rFonts w:ascii="Times New Roman" w:eastAsia="楷体_GB2312" w:hAnsi="Times New Roman" w:hint="eastAsia"/>
          <w:sz w:val="32"/>
          <w:szCs w:val="32"/>
        </w:rPr>
        <w:t>高端文旅</w:t>
      </w:r>
      <w:proofErr w:type="gramEnd"/>
      <w:r>
        <w:rPr>
          <w:rFonts w:ascii="Times New Roman" w:eastAsia="楷体_GB2312" w:hAnsi="Times New Roman" w:hint="eastAsia"/>
          <w:sz w:val="32"/>
          <w:szCs w:val="32"/>
        </w:rPr>
        <w:t>装备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研发支撑文化娱乐创作的专用及配套软件，推进演艺与游乐先进装备、水陆空旅游高端装备、沉浸式体验设施、智慧旅游系统及检测监测平台的研制，发展智能化、高端化、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成套化文旅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设备。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先进高效航空装备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围绕下一代大飞机发展，突破新型布局、智能驾驶、互联航电、多电系统、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开式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转子混合动力发动机等核心技术。推进超声速、超高效亚声速、新能源客机等先进概念研究。围绕未来智慧空中交通需求，加快电动垂直起降航空器、智能高效航空物流装备等研制及应用。</w:t>
      </w:r>
    </w:p>
    <w:p w:rsidR="001C3A66" w:rsidRDefault="001C3A66" w:rsidP="001C3A66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深部资源勘探开发装备</w:t>
      </w:r>
    </w:p>
    <w:p w:rsidR="001C3A66" w:rsidRDefault="001C3A66" w:rsidP="001C3A6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</w:rPr>
        <w:t>围绕深部作业需求，以超深层智能钻机工程样机、深海油气水下生产系统、深海多金属结核采矿车等高端资源勘探开发装备为牵引，推动一系列关键技术攻关。</w:t>
      </w:r>
    </w:p>
    <w:p w:rsidR="001C3A66" w:rsidRDefault="001C3A66" w:rsidP="001C3A66">
      <w:pPr>
        <w:adjustRightInd w:val="0"/>
        <w:snapToGrid w:val="0"/>
        <w:spacing w:line="600" w:lineRule="exact"/>
        <w:ind w:firstLineChars="200" w:firstLine="880"/>
        <w:rPr>
          <w:rFonts w:ascii="Times New Roman" w:eastAsia="方正小标宋简体" w:hAnsi="Times New Roman"/>
          <w:sz w:val="44"/>
          <w:szCs w:val="44"/>
        </w:rPr>
      </w:pPr>
    </w:p>
    <w:p w:rsidR="00833BCF" w:rsidRPr="001C3A66" w:rsidRDefault="00833BCF"/>
    <w:sectPr w:rsidR="00833BCF" w:rsidRPr="001C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9A" w:rsidRDefault="004F7D9A" w:rsidP="001C3A66">
      <w:r>
        <w:separator/>
      </w:r>
    </w:p>
  </w:endnote>
  <w:endnote w:type="continuationSeparator" w:id="0">
    <w:p w:rsidR="004F7D9A" w:rsidRDefault="004F7D9A" w:rsidP="001C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9A" w:rsidRDefault="004F7D9A" w:rsidP="001C3A66">
      <w:r>
        <w:separator/>
      </w:r>
    </w:p>
  </w:footnote>
  <w:footnote w:type="continuationSeparator" w:id="0">
    <w:p w:rsidR="004F7D9A" w:rsidRDefault="004F7D9A" w:rsidP="001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F9189474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5"/>
    <w:rsid w:val="001C3A66"/>
    <w:rsid w:val="004F7D9A"/>
    <w:rsid w:val="00662BB5"/>
    <w:rsid w:val="008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6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A66"/>
    <w:rPr>
      <w:sz w:val="18"/>
      <w:szCs w:val="18"/>
    </w:rPr>
  </w:style>
  <w:style w:type="character" w:styleId="a5">
    <w:name w:val="Strong"/>
    <w:qFormat/>
    <w:rsid w:val="001C3A66"/>
    <w:rPr>
      <w:b/>
      <w:bCs w:val="0"/>
    </w:rPr>
  </w:style>
  <w:style w:type="paragraph" w:styleId="a6">
    <w:name w:val="Normal (Web)"/>
    <w:basedOn w:val="a"/>
    <w:semiHidden/>
    <w:unhideWhenUsed/>
    <w:qFormat/>
    <w:rsid w:val="001C3A6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6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A66"/>
    <w:rPr>
      <w:sz w:val="18"/>
      <w:szCs w:val="18"/>
    </w:rPr>
  </w:style>
  <w:style w:type="character" w:styleId="a5">
    <w:name w:val="Strong"/>
    <w:qFormat/>
    <w:rsid w:val="001C3A66"/>
    <w:rPr>
      <w:b/>
      <w:bCs w:val="0"/>
    </w:rPr>
  </w:style>
  <w:style w:type="paragraph" w:styleId="a6">
    <w:name w:val="Normal (Web)"/>
    <w:basedOn w:val="a"/>
    <w:semiHidden/>
    <w:unhideWhenUsed/>
    <w:qFormat/>
    <w:rsid w:val="001C3A6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1320</Characters>
  <Application>Microsoft Office Word</Application>
  <DocSecurity>0</DocSecurity>
  <Lines>11</Lines>
  <Paragraphs>3</Paragraphs>
  <ScaleCrop>false</ScaleCrop>
  <Company>长沙盛韵电子科技有限公司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2024-12-13T00:50:00Z</dcterms:created>
  <dcterms:modified xsi:type="dcterms:W3CDTF">2024-12-13T00:53:00Z</dcterms:modified>
</cp:coreProperties>
</file>