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spacing w:line="560" w:lineRule="exact"/>
        <w:jc w:val="center"/>
        <w:rPr>
          <w:rFonts w:hint="default" w:ascii="Times New Roman" w:hAnsi="Times New Roman" w:eastAsia="仿宋" w:cs="Times New Roman"/>
          <w:kern w:val="0"/>
          <w:sz w:val="24"/>
          <w:szCs w:val="24"/>
        </w:rPr>
      </w:pPr>
      <w:r>
        <w:rPr>
          <w:rFonts w:hint="default" w:ascii="Times New Roman" w:hAnsi="Times New Roman" w:eastAsia="方正小标宋简体" w:cs="Times New Roman"/>
          <w:kern w:val="0"/>
          <w:sz w:val="44"/>
          <w:szCs w:val="44"/>
          <w:lang w:val="en"/>
        </w:rPr>
        <w:t>202</w:t>
      </w:r>
      <w:r>
        <w:rPr>
          <w:rFonts w:hint="default" w:ascii="Times New Roman" w:hAnsi="Times New Roman" w:eastAsia="方正小标宋简体" w:cs="Times New Roman"/>
          <w:kern w:val="0"/>
          <w:sz w:val="44"/>
          <w:szCs w:val="44"/>
          <w:lang w:val="en" w:eastAsia="zh-CN"/>
        </w:rPr>
        <w:t>4</w:t>
      </w:r>
      <w:r>
        <w:rPr>
          <w:rFonts w:hint="default" w:ascii="Times New Roman" w:hAnsi="Times New Roman" w:eastAsia="方正小标宋简体" w:cs="Times New Roman"/>
          <w:kern w:val="0"/>
          <w:sz w:val="44"/>
          <w:szCs w:val="44"/>
        </w:rPr>
        <w:t>年度</w:t>
      </w:r>
      <w:r>
        <w:rPr>
          <w:rFonts w:hint="default" w:ascii="Times New Roman" w:hAnsi="Times New Roman" w:eastAsia="方正小标宋简体" w:cs="Times New Roman"/>
          <w:kern w:val="0"/>
          <w:sz w:val="44"/>
          <w:szCs w:val="44"/>
          <w:lang w:eastAsia="zh-CN"/>
        </w:rPr>
        <w:t>长株潭</w:t>
      </w:r>
      <w:r>
        <w:rPr>
          <w:rFonts w:hint="default" w:ascii="Times New Roman" w:hAnsi="Times New Roman" w:eastAsia="方正小标宋简体" w:cs="Times New Roman"/>
          <w:kern w:val="0"/>
          <w:sz w:val="44"/>
          <w:szCs w:val="44"/>
          <w:lang w:val="en" w:eastAsia="zh-CN"/>
        </w:rPr>
        <w:t>高端装备制造</w:t>
      </w:r>
      <w:r>
        <w:rPr>
          <w:rFonts w:hint="default" w:ascii="Times New Roman" w:hAnsi="Times New Roman" w:eastAsia="方正小标宋简体" w:cs="Times New Roman"/>
          <w:kern w:val="0"/>
          <w:sz w:val="44"/>
          <w:szCs w:val="44"/>
          <w:lang w:eastAsia="zh-CN"/>
        </w:rPr>
        <w:t>产业人才高级工程师</w:t>
      </w:r>
      <w:r>
        <w:rPr>
          <w:rFonts w:hint="default" w:ascii="Times New Roman" w:hAnsi="Times New Roman" w:eastAsia="方正小标宋简体" w:cs="Times New Roman"/>
          <w:kern w:val="0"/>
          <w:sz w:val="44"/>
          <w:szCs w:val="44"/>
          <w:lang w:val="en-US" w:eastAsia="zh-CN"/>
        </w:rPr>
        <w:t xml:space="preserve">                        </w:t>
      </w:r>
      <w:r>
        <w:rPr>
          <w:rFonts w:hint="default" w:ascii="Times New Roman" w:hAnsi="Times New Roman" w:eastAsia="方正小标宋简体" w:cs="Times New Roman"/>
          <w:kern w:val="0"/>
          <w:sz w:val="44"/>
          <w:szCs w:val="44"/>
        </w:rPr>
        <w:t>评审</w:t>
      </w:r>
      <w:r>
        <w:rPr>
          <w:rFonts w:hint="default" w:ascii="Times New Roman" w:hAnsi="Times New Roman" w:eastAsia="方正小标宋简体" w:cs="Times New Roman"/>
          <w:kern w:val="0"/>
          <w:sz w:val="44"/>
          <w:szCs w:val="44"/>
          <w:lang w:eastAsia="zh-CN"/>
        </w:rPr>
        <w:t>专场</w:t>
      </w:r>
      <w:r>
        <w:rPr>
          <w:rFonts w:hint="default" w:ascii="Times New Roman" w:hAnsi="Times New Roman" w:eastAsia="方正小标宋简体" w:cs="Times New Roman"/>
          <w:kern w:val="0"/>
          <w:sz w:val="44"/>
          <w:szCs w:val="44"/>
        </w:rPr>
        <w:t>面试答辩回执 </w:t>
      </w:r>
    </w:p>
    <w:p>
      <w:pPr>
        <w:shd w:val="clear" w:color="auto"/>
        <w:spacing w:line="560" w:lineRule="exact"/>
        <w:ind w:firstLine="1215" w:firstLineChars="500"/>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填报单位(盖章)：</w:t>
      </w:r>
      <w:r>
        <w:rPr>
          <w:rFonts w:hint="default" w:ascii="Times New Roman" w:hAnsi="Times New Roman" w:eastAsia="MS Gothic" w:cs="Times New Roman"/>
          <w:kern w:val="0"/>
          <w:sz w:val="24"/>
          <w:szCs w:val="24"/>
        </w:rPr>
        <w:t> </w:t>
      </w:r>
      <w:r>
        <w:rPr>
          <w:rFonts w:hint="default" w:ascii="Times New Roman" w:hAnsi="Times New Roman" w:eastAsia="仿宋" w:cs="Times New Roman"/>
          <w:kern w:val="0"/>
          <w:sz w:val="24"/>
          <w:szCs w:val="24"/>
        </w:rPr>
        <w:t xml:space="preserve"> </w:t>
      </w:r>
      <w:r>
        <w:rPr>
          <w:rFonts w:hint="default" w:ascii="Times New Roman" w:hAnsi="Times New Roman" w:eastAsia="MS Gothic" w:cs="Times New Roman"/>
          <w:kern w:val="0"/>
          <w:sz w:val="24"/>
          <w:szCs w:val="24"/>
        </w:rPr>
        <w:t>             </w:t>
      </w:r>
      <w:r>
        <w:rPr>
          <w:rFonts w:hint="default" w:ascii="Times New Roman" w:hAnsi="Times New Roman" w:eastAsia="仿宋" w:cs="Times New Roman"/>
          <w:kern w:val="0"/>
          <w:sz w:val="24"/>
          <w:szCs w:val="24"/>
        </w:rPr>
        <w:t>单位联系人：</w:t>
      </w:r>
      <w:r>
        <w:rPr>
          <w:rFonts w:hint="default" w:ascii="Times New Roman" w:hAnsi="Times New Roman" w:eastAsia="MS Gothic" w:cs="Times New Roman"/>
          <w:kern w:val="0"/>
          <w:sz w:val="24"/>
          <w:szCs w:val="24"/>
        </w:rPr>
        <w:t> </w:t>
      </w:r>
      <w:r>
        <w:rPr>
          <w:rFonts w:hint="default" w:ascii="Times New Roman" w:hAnsi="Times New Roman" w:eastAsia="仿宋" w:cs="Times New Roman"/>
          <w:kern w:val="0"/>
          <w:sz w:val="24"/>
          <w:szCs w:val="24"/>
        </w:rPr>
        <w:t xml:space="preserve">  </w:t>
      </w:r>
      <w:r>
        <w:rPr>
          <w:rFonts w:hint="default" w:ascii="Times New Roman" w:hAnsi="Times New Roman" w:eastAsia="MS Gothic" w:cs="Times New Roman"/>
          <w:kern w:val="0"/>
          <w:sz w:val="24"/>
          <w:szCs w:val="24"/>
        </w:rPr>
        <w:t>                    </w:t>
      </w:r>
      <w:r>
        <w:rPr>
          <w:rFonts w:hint="default" w:ascii="Times New Roman" w:hAnsi="Times New Roman" w:eastAsia="仿宋" w:cs="Times New Roman"/>
          <w:kern w:val="0"/>
          <w:sz w:val="24"/>
          <w:szCs w:val="24"/>
        </w:rPr>
        <w:t>联系人手机电话：</w:t>
      </w:r>
    </w:p>
    <w:tbl>
      <w:tblPr>
        <w:tblStyle w:val="2"/>
        <w:tblW w:w="12883" w:type="dxa"/>
        <w:jc w:val="center"/>
        <w:tblLayout w:type="fixed"/>
        <w:tblCellMar>
          <w:top w:w="0" w:type="dxa"/>
          <w:left w:w="0" w:type="dxa"/>
          <w:bottom w:w="0" w:type="dxa"/>
          <w:right w:w="0" w:type="dxa"/>
        </w:tblCellMar>
      </w:tblPr>
      <w:tblGrid>
        <w:gridCol w:w="1975"/>
        <w:gridCol w:w="3082"/>
        <w:gridCol w:w="2304"/>
        <w:gridCol w:w="2623"/>
        <w:gridCol w:w="2899"/>
      </w:tblGrid>
      <w:tr>
        <w:tblPrEx>
          <w:tblCellMar>
            <w:top w:w="0" w:type="dxa"/>
            <w:left w:w="0" w:type="dxa"/>
            <w:bottom w:w="0" w:type="dxa"/>
            <w:right w:w="0" w:type="dxa"/>
          </w:tblCellMar>
        </w:tblPrEx>
        <w:trPr>
          <w:trHeight w:val="633" w:hRule="atLeast"/>
          <w:jc w:val="center"/>
        </w:trPr>
        <w:tc>
          <w:tcPr>
            <w:tcW w:w="1975"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姓名</w:t>
            </w:r>
          </w:p>
        </w:tc>
        <w:tc>
          <w:tcPr>
            <w:tcW w:w="308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工作单位</w:t>
            </w:r>
          </w:p>
        </w:tc>
        <w:tc>
          <w:tcPr>
            <w:tcW w:w="230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答辩专业</w:t>
            </w:r>
          </w:p>
        </w:tc>
        <w:tc>
          <w:tcPr>
            <w:tcW w:w="262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答辩场次及分组</w:t>
            </w:r>
          </w:p>
        </w:tc>
        <w:tc>
          <w:tcPr>
            <w:tcW w:w="289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仿宋" w:cs="Times New Roman"/>
                <w:b/>
                <w:kern w:val="0"/>
                <w:szCs w:val="21"/>
              </w:rPr>
            </w:pPr>
            <w:r>
              <w:rPr>
                <w:rFonts w:hint="default" w:ascii="Times New Roman" w:hAnsi="Times New Roman" w:eastAsia="仿宋" w:cs="Times New Roman"/>
                <w:b/>
                <w:kern w:val="0"/>
                <w:szCs w:val="21"/>
              </w:rPr>
              <w:t>参评人员联系电话</w:t>
            </w:r>
          </w:p>
        </w:tc>
      </w:tr>
      <w:tr>
        <w:tblPrEx>
          <w:tblCellMar>
            <w:top w:w="0" w:type="dxa"/>
            <w:left w:w="0" w:type="dxa"/>
            <w:bottom w:w="0" w:type="dxa"/>
            <w:right w:w="0" w:type="dxa"/>
          </w:tblCellMar>
        </w:tblPrEx>
        <w:trPr>
          <w:trHeight w:val="461" w:hRule="atLeast"/>
          <w:jc w:val="center"/>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cs="Times New Roman"/>
                <w:kern w:val="0"/>
                <w:sz w:val="24"/>
                <w:szCs w:val="24"/>
              </w:rPr>
              <w:t>　</w:t>
            </w:r>
          </w:p>
        </w:tc>
        <w:tc>
          <w:tcPr>
            <w:tcW w:w="30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cs="Times New Roman"/>
                <w:kern w:val="0"/>
                <w:sz w:val="24"/>
                <w:szCs w:val="24"/>
              </w:rPr>
              <w:t>　</w:t>
            </w:r>
          </w:p>
        </w:tc>
        <w:tc>
          <w:tcPr>
            <w:tcW w:w="23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cs="Times New Roman"/>
                <w:kern w:val="0"/>
                <w:sz w:val="24"/>
                <w:szCs w:val="24"/>
              </w:rPr>
              <w:t>　</w:t>
            </w:r>
          </w:p>
        </w:tc>
        <w:tc>
          <w:tcPr>
            <w:tcW w:w="262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 w:val="24"/>
                <w:szCs w:val="24"/>
                <w:lang w:val="en-US" w:eastAsia="zh-CN"/>
              </w:rPr>
            </w:pPr>
            <w:r>
              <w:rPr>
                <w:rFonts w:hint="default" w:ascii="Times New Roman" w:hAnsi="Times New Roman" w:eastAsia="微软雅黑" w:cs="Times New Roman"/>
                <w:kern w:val="0"/>
                <w:sz w:val="24"/>
                <w:szCs w:val="24"/>
                <w:lang w:eastAsia="zh-CN"/>
              </w:rPr>
              <w:t>例：上午场</w:t>
            </w:r>
            <w:r>
              <w:rPr>
                <w:rFonts w:hint="default" w:ascii="Times New Roman" w:hAnsi="Times New Roman" w:eastAsia="微软雅黑" w:cs="Times New Roman"/>
                <w:kern w:val="0"/>
                <w:sz w:val="24"/>
                <w:szCs w:val="24"/>
                <w:lang w:val="en-US" w:eastAsia="zh-CN"/>
              </w:rPr>
              <w:t>/第一组</w:t>
            </w:r>
          </w:p>
        </w:tc>
        <w:tc>
          <w:tcPr>
            <w:tcW w:w="289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cs="Times New Roman"/>
                <w:kern w:val="0"/>
                <w:sz w:val="24"/>
                <w:szCs w:val="24"/>
              </w:rPr>
              <w:t>　</w:t>
            </w:r>
          </w:p>
        </w:tc>
      </w:tr>
      <w:tr>
        <w:tblPrEx>
          <w:tblCellMar>
            <w:top w:w="0" w:type="dxa"/>
            <w:left w:w="0" w:type="dxa"/>
            <w:bottom w:w="0" w:type="dxa"/>
            <w:right w:w="0" w:type="dxa"/>
          </w:tblCellMar>
        </w:tblPrEx>
        <w:trPr>
          <w:trHeight w:val="415" w:hRule="atLeast"/>
          <w:jc w:val="center"/>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30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23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262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 w:val="24"/>
                <w:szCs w:val="24"/>
              </w:rPr>
            </w:pPr>
          </w:p>
        </w:tc>
        <w:tc>
          <w:tcPr>
            <w:tcW w:w="289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r>
      <w:tr>
        <w:tblPrEx>
          <w:tblCellMar>
            <w:top w:w="0" w:type="dxa"/>
            <w:left w:w="0" w:type="dxa"/>
            <w:bottom w:w="0" w:type="dxa"/>
            <w:right w:w="0" w:type="dxa"/>
          </w:tblCellMar>
        </w:tblPrEx>
        <w:trPr>
          <w:trHeight w:val="415" w:hRule="atLeast"/>
          <w:jc w:val="center"/>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30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23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262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 w:val="24"/>
                <w:szCs w:val="24"/>
              </w:rPr>
            </w:pPr>
          </w:p>
        </w:tc>
        <w:tc>
          <w:tcPr>
            <w:tcW w:w="289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r>
      <w:tr>
        <w:tblPrEx>
          <w:tblCellMar>
            <w:top w:w="0" w:type="dxa"/>
            <w:left w:w="0" w:type="dxa"/>
            <w:bottom w:w="0" w:type="dxa"/>
            <w:right w:w="0" w:type="dxa"/>
          </w:tblCellMar>
        </w:tblPrEx>
        <w:trPr>
          <w:trHeight w:val="415" w:hRule="atLeast"/>
          <w:jc w:val="center"/>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30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23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262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 w:val="24"/>
                <w:szCs w:val="24"/>
              </w:rPr>
            </w:pPr>
          </w:p>
        </w:tc>
        <w:tc>
          <w:tcPr>
            <w:tcW w:w="289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r>
      <w:tr>
        <w:tblPrEx>
          <w:tblCellMar>
            <w:top w:w="0" w:type="dxa"/>
            <w:left w:w="0" w:type="dxa"/>
            <w:bottom w:w="0" w:type="dxa"/>
            <w:right w:w="0" w:type="dxa"/>
          </w:tblCellMar>
        </w:tblPrEx>
        <w:trPr>
          <w:trHeight w:val="664" w:hRule="atLeast"/>
          <w:jc w:val="center"/>
        </w:trPr>
        <w:tc>
          <w:tcPr>
            <w:tcW w:w="197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308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230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c>
          <w:tcPr>
            <w:tcW w:w="262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 w:val="24"/>
                <w:szCs w:val="24"/>
              </w:rPr>
            </w:pPr>
          </w:p>
        </w:tc>
        <w:tc>
          <w:tcPr>
            <w:tcW w:w="289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hd w:val="clear"/>
              <w:spacing w:line="560" w:lineRule="exact"/>
              <w:jc w:val="center"/>
              <w:rPr>
                <w:rFonts w:hint="default" w:ascii="Times New Roman" w:hAnsi="Times New Roman" w:eastAsia="微软雅黑" w:cs="Times New Roman"/>
                <w:kern w:val="0"/>
                <w:szCs w:val="21"/>
              </w:rPr>
            </w:pPr>
            <w:r>
              <w:rPr>
                <w:rFonts w:hint="default" w:ascii="Times New Roman" w:hAnsi="Times New Roman" w:eastAsia="微软雅黑" w:cs="Times New Roman"/>
                <w:kern w:val="0"/>
                <w:sz w:val="24"/>
                <w:szCs w:val="24"/>
              </w:rPr>
              <w:t> </w:t>
            </w:r>
          </w:p>
        </w:tc>
      </w:tr>
    </w:tbl>
    <w:p>
      <w:pPr>
        <w:keepNext w:val="0"/>
        <w:keepLines w:val="0"/>
        <w:pageBreakBefore w:val="0"/>
        <w:widowControl w:val="0"/>
        <w:shd w:val="clear" w:color="auto"/>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备注：</w:t>
      </w:r>
      <w:r>
        <w:rPr>
          <w:rFonts w:hint="default" w:ascii="Times New Roman" w:hAnsi="Times New Roman" w:eastAsia="MS Gothic" w:cs="Times New Roman"/>
          <w:kern w:val="0"/>
          <w:sz w:val="24"/>
          <w:szCs w:val="24"/>
        </w:rPr>
        <w:t>    </w:t>
      </w:r>
    </w:p>
    <w:p>
      <w:pPr>
        <w:keepNext w:val="0"/>
        <w:keepLines w:val="0"/>
        <w:pageBreakBefore w:val="0"/>
        <w:widowControl w:val="0"/>
        <w:shd w:val="clear" w:color="auto"/>
        <w:kinsoku/>
        <w:wordWrap/>
        <w:overflowPunct/>
        <w:topLinePunct w:val="0"/>
        <w:autoSpaceDE/>
        <w:autoSpaceDN/>
        <w:bidi w:val="0"/>
        <w:adjustRightInd/>
        <w:snapToGrid/>
        <w:spacing w:line="300" w:lineRule="exact"/>
        <w:ind w:firstLine="486" w:firstLineChars="20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1、请确保通知到所有应当参加面试答辩人员（资格审查不过人员请务必通知其不需要参加面试），并注明手机联系方式。</w:t>
      </w:r>
    </w:p>
    <w:p>
      <w:pPr>
        <w:keepNext w:val="0"/>
        <w:keepLines w:val="0"/>
        <w:pageBreakBefore w:val="0"/>
        <w:widowControl w:val="0"/>
        <w:shd w:val="clear" w:color="auto"/>
        <w:kinsoku/>
        <w:wordWrap/>
        <w:overflowPunct/>
        <w:topLinePunct w:val="0"/>
        <w:autoSpaceDE/>
        <w:autoSpaceDN/>
        <w:bidi w:val="0"/>
        <w:adjustRightInd/>
        <w:snapToGrid/>
        <w:spacing w:line="300" w:lineRule="exact"/>
        <w:ind w:firstLine="486" w:firstLineChars="20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2、本次面试为</w:t>
      </w:r>
      <w:r>
        <w:rPr>
          <w:rFonts w:hint="default" w:ascii="Times New Roman" w:hAnsi="Times New Roman" w:eastAsia="仿宋" w:cs="Times New Roman"/>
          <w:kern w:val="0"/>
          <w:sz w:val="24"/>
          <w:szCs w:val="24"/>
          <w:lang w:val="en" w:eastAsia="zh-CN"/>
        </w:rPr>
        <w:t>长株潭</w:t>
      </w:r>
      <w:r>
        <w:rPr>
          <w:rFonts w:hint="default" w:ascii="Times New Roman" w:hAnsi="Times New Roman" w:eastAsia="仿宋" w:cs="Times New Roman"/>
          <w:kern w:val="0"/>
          <w:sz w:val="24"/>
          <w:szCs w:val="24"/>
          <w:lang w:eastAsia="zh-CN"/>
        </w:rPr>
        <w:t>高级工程师轮值评审</w:t>
      </w:r>
      <w:r>
        <w:rPr>
          <w:rFonts w:hint="default" w:ascii="Times New Roman" w:hAnsi="Times New Roman" w:eastAsia="仿宋" w:cs="Times New Roman"/>
          <w:kern w:val="0"/>
          <w:sz w:val="24"/>
          <w:szCs w:val="24"/>
        </w:rPr>
        <w:t>面试答辩（副高级职称），范围为长株潭3个市州申报电子、电气、机械、质监、环境、建筑、轻工、化工、冶金等相关专业的参评人员，上述3个市州申报其他专业的人员以及其余市州和省直单位等申报工程系列副高的人员，面试答辩场次初步安排在11月下旬进行（根据工作进度情况，另行通知）。</w:t>
      </w:r>
    </w:p>
    <w:p>
      <w:pPr>
        <w:keepNext w:val="0"/>
        <w:keepLines w:val="0"/>
        <w:pageBreakBefore w:val="0"/>
        <w:widowControl w:val="0"/>
        <w:shd w:val="clear" w:color="auto"/>
        <w:kinsoku/>
        <w:wordWrap/>
        <w:overflowPunct/>
        <w:topLinePunct w:val="0"/>
        <w:autoSpaceDE/>
        <w:autoSpaceDN/>
        <w:bidi w:val="0"/>
        <w:adjustRightInd/>
        <w:snapToGrid/>
        <w:spacing w:line="300" w:lineRule="exact"/>
        <w:ind w:firstLine="486" w:firstLineChars="20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3、本表由单位统一填写并报送，不接受个人单独报送。</w:t>
      </w:r>
    </w:p>
    <w:p>
      <w:pPr>
        <w:keepNext w:val="0"/>
        <w:keepLines w:val="0"/>
        <w:pageBreakBefore w:val="0"/>
        <w:widowControl w:val="0"/>
        <w:shd w:val="clear" w:color="auto"/>
        <w:kinsoku/>
        <w:wordWrap/>
        <w:overflowPunct/>
        <w:topLinePunct w:val="0"/>
        <w:autoSpaceDE/>
        <w:autoSpaceDN/>
        <w:bidi w:val="0"/>
        <w:adjustRightInd/>
        <w:snapToGrid/>
        <w:spacing w:line="300" w:lineRule="exact"/>
        <w:ind w:firstLine="486" w:firstLineChars="20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4、资格审查不通过人员和评审全过程当中发现有不符合申报条件的人员，评委会研究提出异议的，将及时予以通知，不允许进场答辩。</w:t>
      </w:r>
    </w:p>
    <w:p>
      <w:pPr>
        <w:keepNext w:val="0"/>
        <w:keepLines w:val="0"/>
        <w:pageBreakBefore w:val="0"/>
        <w:widowControl w:val="0"/>
        <w:shd w:val="clear" w:color="auto"/>
        <w:kinsoku/>
        <w:wordWrap/>
        <w:overflowPunct/>
        <w:topLinePunct w:val="0"/>
        <w:autoSpaceDE/>
        <w:autoSpaceDN/>
        <w:bidi w:val="0"/>
        <w:adjustRightInd/>
        <w:snapToGrid/>
        <w:spacing w:line="300" w:lineRule="exact"/>
        <w:ind w:firstLine="486" w:firstLineChars="200"/>
        <w:jc w:val="left"/>
        <w:textAlignment w:val="auto"/>
        <w:rPr>
          <w:rFonts w:hint="default" w:ascii="Times New Roman" w:hAnsi="Times New Roman" w:eastAsia="仿宋" w:cs="Times New Roman"/>
          <w:kern w:val="0"/>
          <w:sz w:val="24"/>
          <w:szCs w:val="24"/>
        </w:rPr>
      </w:pPr>
      <w:r>
        <w:rPr>
          <w:rFonts w:hint="default" w:ascii="Times New Roman" w:hAnsi="Times New Roman" w:eastAsia="仿宋" w:cs="Times New Roman"/>
          <w:kern w:val="0"/>
          <w:sz w:val="24"/>
          <w:szCs w:val="24"/>
        </w:rPr>
        <w:t>5、请提前安排好时间</w:t>
      </w:r>
      <w:r>
        <w:rPr>
          <w:rFonts w:hint="eastAsia" w:ascii="Times New Roman" w:hAnsi="Times New Roman" w:eastAsia="仿宋" w:cs="Times New Roman"/>
          <w:kern w:val="0"/>
          <w:sz w:val="24"/>
          <w:szCs w:val="24"/>
          <w:lang w:eastAsia="zh-CN"/>
        </w:rPr>
        <w:t>并携带身份证件</w:t>
      </w:r>
      <w:r>
        <w:rPr>
          <w:rFonts w:hint="default" w:ascii="Times New Roman" w:hAnsi="Times New Roman" w:eastAsia="仿宋" w:cs="Times New Roman"/>
          <w:kern w:val="0"/>
          <w:sz w:val="24"/>
          <w:szCs w:val="24"/>
        </w:rPr>
        <w:t>，避免迟到。</w:t>
      </w:r>
    </w:p>
    <w:p>
      <w:pPr>
        <w:keepNext w:val="0"/>
        <w:keepLines w:val="0"/>
        <w:pageBreakBefore w:val="0"/>
        <w:widowControl w:val="0"/>
        <w:shd w:val="clear" w:color="auto"/>
        <w:kinsoku/>
        <w:wordWrap/>
        <w:overflowPunct/>
        <w:topLinePunct w:val="0"/>
        <w:autoSpaceDE/>
        <w:autoSpaceDN/>
        <w:bidi w:val="0"/>
        <w:adjustRightInd/>
        <w:snapToGrid/>
        <w:spacing w:line="300" w:lineRule="exact"/>
        <w:ind w:left="728" w:leftChars="228" w:hanging="243" w:hangingChars="100"/>
        <w:jc w:val="left"/>
        <w:textAlignment w:val="auto"/>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6、关于后续职称评审相关通知可关注下列网址：湖南省工业和信息化厅-职</w:t>
      </w:r>
      <w:bookmarkStart w:id="0" w:name="_GoBack"/>
      <w:bookmarkEnd w:id="0"/>
      <w:r>
        <w:rPr>
          <w:rFonts w:hint="eastAsia" w:ascii="Times New Roman" w:hAnsi="Times New Roman" w:eastAsia="仿宋" w:cs="Times New Roman"/>
          <w:kern w:val="0"/>
          <w:sz w:val="24"/>
          <w:szCs w:val="24"/>
          <w:lang w:val="en-US" w:eastAsia="zh-CN"/>
        </w:rPr>
        <w:t>称专栏</w:t>
      </w:r>
    </w:p>
    <w:p>
      <w:pPr>
        <w:keepNext w:val="0"/>
        <w:keepLines w:val="0"/>
        <w:pageBreakBefore w:val="0"/>
        <w:widowControl w:val="0"/>
        <w:shd w:val="clear" w:color="auto"/>
        <w:kinsoku/>
        <w:wordWrap/>
        <w:overflowPunct/>
        <w:topLinePunct w:val="0"/>
        <w:autoSpaceDE/>
        <w:autoSpaceDN/>
        <w:bidi w:val="0"/>
        <w:adjustRightInd/>
        <w:snapToGrid/>
        <w:spacing w:line="300" w:lineRule="exact"/>
        <w:jc w:val="left"/>
        <w:textAlignment w:val="auto"/>
        <w:rPr>
          <w:rFonts w:hint="default" w:ascii="Times New Roman" w:hAnsi="Times New Roman" w:eastAsia="仿宋" w:cs="Times New Roman"/>
          <w:kern w:val="0"/>
          <w:sz w:val="24"/>
          <w:szCs w:val="24"/>
          <w:lang w:val="en-US" w:eastAsia="zh-CN"/>
        </w:rPr>
        <w:sectPr>
          <w:pgSz w:w="16838" w:h="11906" w:orient="landscape"/>
          <w:pgMar w:top="1361" w:right="1701" w:bottom="1134" w:left="1247" w:header="851" w:footer="882" w:gutter="0"/>
          <w:cols w:space="720" w:num="1"/>
          <w:titlePg/>
          <w:docGrid w:type="linesAndChars" w:linePitch="605" w:charSpace="819"/>
        </w:sectPr>
      </w:pPr>
      <w:r>
        <w:rPr>
          <w:rFonts w:hint="eastAsia" w:ascii="Times New Roman" w:hAnsi="Times New Roman" w:eastAsia="仿宋" w:cs="Times New Roman"/>
          <w:kern w:val="0"/>
          <w:sz w:val="24"/>
          <w:szCs w:val="24"/>
          <w:lang w:val="en-US" w:eastAsia="zh-CN"/>
        </w:rPr>
        <w:t>http://gxt.hunan.gov.cn/gxt/xxgk_71033/zczl/index.html。</w:t>
      </w:r>
    </w:p>
    <w:p/>
    <w:sectPr>
      <w:pgSz w:w="11906" w:h="16838"/>
      <w:pgMar w:top="144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文鼎CS仿宋体">
    <w:altName w:val="方正仿宋_GBK"/>
    <w:panose1 w:val="02010609010101010101"/>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MS Gothic">
    <w:altName w:val="Arial Narrow"/>
    <w:panose1 w:val="020B0609070205080204"/>
    <w:charset w:val="00"/>
    <w:family w:val="modern"/>
    <w:pitch w:val="default"/>
    <w:sig w:usb0="00000000" w:usb1="00000000" w:usb2="00000012" w:usb3="00000000" w:csb0="4002009F" w:csb1="DFD70000"/>
  </w:font>
  <w:font w:name="微软雅黑">
    <w:altName w:val="黑体"/>
    <w:panose1 w:val="020B0503020204020204"/>
    <w:charset w:val="00"/>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4BD53F65"/>
    <w:rsid w:val="67BF592A"/>
    <w:rsid w:val="71BEC21D"/>
    <w:rsid w:val="7FAFD540"/>
    <w:rsid w:val="DF7F5848"/>
    <w:rsid w:val="EFAF5DCE"/>
    <w:rsid w:val="FBF693B4"/>
    <w:rsid w:val="FF56D384"/>
    <w:rsid w:val="FFEFE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2018-07-12T23:11:00Z</dcterms:created>
  <dc:creator>d</dc:creator>
  <cp:lastModifiedBy>a Lily  </cp:lastModifiedBy>
  <cp:lastPrinted>2023-11-15T11:51:00Z</cp:lastPrinted>
  <dcterms:modified xsi:type="dcterms:W3CDTF">2024-11-11T11:18:29Z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