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 Regular" w:hAnsi="Times New Roman Regular" w:eastAsia="仿宋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重点转板企业申报资料要求及模板</w:t>
      </w:r>
    </w:p>
    <w:p>
      <w:pPr>
        <w:rPr>
          <w:rFonts w:hint="default"/>
          <w:color w:val="auto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color w:val="auto"/>
          <w:lang w:val="en-US" w:eastAsia="zh-Hans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Hans"/>
        </w:rPr>
        <w:t>资料清单</w:t>
      </w:r>
    </w:p>
    <w:tbl>
      <w:tblPr>
        <w:tblStyle w:val="5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60"/>
        <w:gridCol w:w="2253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 w:val="24"/>
                <w:szCs w:val="24"/>
              </w:rPr>
              <w:t>资料名称</w:t>
            </w: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 w:val="24"/>
                <w:szCs w:val="24"/>
              </w:rPr>
              <w:t>资料要求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 w:val="24"/>
                <w:szCs w:val="24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1</w:t>
            </w:r>
          </w:p>
        </w:tc>
        <w:tc>
          <w:tcPr>
            <w:tcW w:w="2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转板申请</w:t>
            </w: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原件（加盖公章）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2</w:t>
            </w:r>
          </w:p>
        </w:tc>
        <w:tc>
          <w:tcPr>
            <w:tcW w:w="2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企业基本信息情况表</w:t>
            </w: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原件（加盖公章）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3</w:t>
            </w:r>
          </w:p>
        </w:tc>
        <w:tc>
          <w:tcPr>
            <w:tcW w:w="2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符合专精特新专板挂牌条件的证明材料</w:t>
            </w:r>
          </w:p>
        </w:tc>
        <w:tc>
          <w:tcPr>
            <w:tcW w:w="1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原件（加盖公章）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  <w:t>必须提供</w:t>
            </w:r>
          </w:p>
        </w:tc>
      </w:tr>
    </w:tbl>
    <w:p>
      <w:pPr>
        <w:pStyle w:val="2"/>
        <w:rPr>
          <w:rFonts w:hint="eastAsia" w:ascii="Times New Roman Regular" w:hAnsi="Times New Roman Regular" w:eastAsia="仿宋" w:cs="Times New Roman Regular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Times New Roman Regular" w:hAnsi="Times New Roman Regular" w:eastAsia="仿宋" w:cs="Times New Roman Regular"/>
          <w:b/>
          <w:bCs/>
          <w:color w:val="auto"/>
          <w:kern w:val="2"/>
          <w:sz w:val="24"/>
          <w:szCs w:val="24"/>
          <w:lang w:val="en-US" w:eastAsia="zh-CN" w:bidi="ar-SA"/>
        </w:rPr>
        <w:t>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上述文件请同步以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pdf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扫描件，按“</w:t>
      </w:r>
      <w:r>
        <w:rPr>
          <w:rFonts w:hint="eastAsia" w:ascii="Times New Roman Regular" w:hAnsi="Times New Roman Regular" w:eastAsia="仿宋" w:cs="Times New Roman Regular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企业所属市州区县+企业简称+申报挂牌类型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”要求命名，发送至邮箱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qyfwb@hnchasing.com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 w:firstLineChars="200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highlight w:val="none"/>
          <w:lang w:val="en-US" w:eastAsia="zh-CN"/>
        </w:rPr>
        <w:t>申报材料模板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1、转板申请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  <w:t>转板</w:t>
      </w: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</w:rPr>
        <w:t>申请</w:t>
      </w: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湖南股权交易所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有限公司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公司（挂牌代码：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；简称：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；）申请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转板至专精特新专板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  <w:t xml:space="preserve">孵化层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  <w:t xml:space="preserve">规范层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  <w:t>培育层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挂牌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请贵所予以审核。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 Regular" w:hAnsi="Times New Roman Regular" w:eastAsia="仿宋" w:cs="Times New Roman Regular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本公司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承诺申请文件中不存在虚假记载、误导性陈述或重大遗漏，并对其真实性、准确性和完整性承担单独或连带责任。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特此申请。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ordWrap w:val="0"/>
        <w:snapToGrid w:val="0"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法定代表人（签字）：       </w:t>
      </w:r>
    </w:p>
    <w:p>
      <w:pPr>
        <w:wordWrap w:val="0"/>
        <w:snapToGrid w:val="0"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XXXXX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公司（盖章）   </w:t>
      </w:r>
    </w:p>
    <w:p>
      <w:pPr>
        <w:snapToGrid w:val="0"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wordWrap w:val="0"/>
        <w:snapToGrid w:val="0"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　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     </w:t>
      </w:r>
    </w:p>
    <w:p>
      <w:pPr>
        <w:wordWrap/>
        <w:snapToGrid w:val="0"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wordWrap/>
        <w:snapToGrid w:val="0"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wordWrap/>
        <w:snapToGrid w:val="0"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wordWrap/>
        <w:snapToGrid w:val="0"/>
        <w:spacing w:line="360" w:lineRule="auto"/>
        <w:jc w:val="right"/>
        <w:rPr>
          <w:rFonts w:hint="eastAsia" w:ascii="宋体" w:hAnsi="宋体"/>
          <w:color w:val="auto"/>
          <w:sz w:val="24"/>
          <w:szCs w:val="24"/>
        </w:rPr>
      </w:pPr>
    </w:p>
    <w:p>
      <w:pPr>
        <w:wordWrap/>
        <w:snapToGrid w:val="0"/>
        <w:spacing w:line="360" w:lineRule="auto"/>
        <w:jc w:val="right"/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eastAsia="zh-CN"/>
        </w:rPr>
        <w:t>企业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</w:rPr>
        <w:t>基本信息情况表</w:t>
      </w:r>
    </w:p>
    <w:tbl>
      <w:tblPr>
        <w:tblStyle w:val="5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80"/>
        <w:gridCol w:w="465"/>
        <w:gridCol w:w="228"/>
        <w:gridCol w:w="558"/>
        <w:gridCol w:w="829"/>
        <w:gridCol w:w="791"/>
        <w:gridCol w:w="595"/>
        <w:gridCol w:w="694"/>
        <w:gridCol w:w="162"/>
        <w:gridCol w:w="234"/>
        <w:gridCol w:w="697"/>
        <w:gridCol w:w="988"/>
      </w:tblGrid>
      <w:tr>
        <w:trPr>
          <w:trHeight w:val="1162" w:hRule="atLeast"/>
          <w:jc w:val="center"/>
        </w:trPr>
        <w:tc>
          <w:tcPr>
            <w:tcW w:w="9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湖南股权交易所“专精特新”专板申请挂牌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企业基本信息表</w:t>
            </w:r>
          </w:p>
        </w:tc>
      </w:tr>
      <w:tr>
        <w:trPr>
          <w:trHeight w:val="90" w:hRule="atLeast"/>
          <w:jc w:val="center"/>
        </w:trPr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48"/>
                <w:szCs w:val="48"/>
                <w:highlight w:val="none"/>
              </w:rPr>
            </w:pPr>
          </w:p>
        </w:tc>
        <w:tc>
          <w:tcPr>
            <w:tcW w:w="33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填写日期：    年   月   日</w:t>
            </w:r>
          </w:p>
        </w:tc>
      </w:tr>
      <w:tr>
        <w:trPr>
          <w:trHeight w:val="598" w:hRule="atLeast"/>
          <w:jc w:val="center"/>
        </w:trPr>
        <w:tc>
          <w:tcPr>
            <w:tcW w:w="98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基本信息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公司名称</w:t>
            </w:r>
          </w:p>
        </w:tc>
        <w:tc>
          <w:tcPr>
            <w:tcW w:w="8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公司简称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营业执照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成立时间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注册地址</w:t>
            </w:r>
          </w:p>
        </w:tc>
        <w:tc>
          <w:tcPr>
            <w:tcW w:w="8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注册资本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员工人数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主营业务</w:t>
            </w:r>
          </w:p>
        </w:tc>
        <w:tc>
          <w:tcPr>
            <w:tcW w:w="8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1146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企业层级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专精特新“小巨人”企业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专精特新中小企业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制造业单项冠军企业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  <w:lang w:val="en-US" w:eastAsia="zh-Hans"/>
              </w:rPr>
              <w:t>其他</w:t>
            </w:r>
          </w:p>
        </w:tc>
      </w:tr>
      <w:tr>
        <w:trPr>
          <w:trHeight w:val="833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申报层级</w:t>
            </w:r>
          </w:p>
        </w:tc>
        <w:tc>
          <w:tcPr>
            <w:tcW w:w="495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孵化层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color w:val="auto"/>
                <w:kern w:val="0"/>
                <w:szCs w:val="21"/>
                <w:highlight w:val="none"/>
              </w:rPr>
              <w:t>规范层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</w:rPr>
              <w:t>培育层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lang w:val="en-US" w:eastAsia="zh-CN"/>
              </w:rPr>
              <w:t xml:space="preserve">  </w:t>
            </w:r>
          </w:p>
        </w:tc>
        <w:tc>
          <w:tcPr>
            <w:tcW w:w="16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股权报价</w:t>
            </w:r>
          </w:p>
        </w:tc>
        <w:tc>
          <w:tcPr>
            <w:tcW w:w="16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984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上市规划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上市意向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主板</w:t>
            </w:r>
          </w:p>
        </w:tc>
        <w:tc>
          <w:tcPr>
            <w:tcW w:w="2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创业板</w:t>
            </w:r>
          </w:p>
        </w:tc>
        <w:tc>
          <w:tcPr>
            <w:tcW w:w="14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科创板</w:t>
            </w:r>
          </w:p>
        </w:tc>
        <w:tc>
          <w:tcPr>
            <w:tcW w:w="19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北交所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上市进程安排</w:t>
            </w:r>
          </w:p>
        </w:tc>
        <w:tc>
          <w:tcPr>
            <w:tcW w:w="495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是否完成股改</w:t>
            </w:r>
          </w:p>
        </w:tc>
        <w:tc>
          <w:tcPr>
            <w:tcW w:w="33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是否完成辅导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是</w:t>
            </w:r>
          </w:p>
        </w:tc>
        <w:tc>
          <w:tcPr>
            <w:tcW w:w="2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255"/>
                <w:numId w:val="0"/>
              </w:numPr>
              <w:ind w:left="17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4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是</w:t>
            </w:r>
          </w:p>
        </w:tc>
        <w:tc>
          <w:tcPr>
            <w:tcW w:w="19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255"/>
                <w:numId w:val="0"/>
              </w:numPr>
              <w:ind w:left="5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  <w:t>否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已/拟签约中介机构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证券公司</w:t>
            </w:r>
          </w:p>
        </w:tc>
        <w:tc>
          <w:tcPr>
            <w:tcW w:w="2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会计师事务所</w:t>
            </w:r>
          </w:p>
        </w:tc>
        <w:tc>
          <w:tcPr>
            <w:tcW w:w="33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律师事务所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98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主要财务数据</w:t>
            </w:r>
          </w:p>
          <w:p>
            <w:pPr>
              <w:widowControl/>
              <w:jc w:val="right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单位：万元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20</w:t>
            </w: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年度</w:t>
            </w: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eastAsia="zh-Hans"/>
              </w:rPr>
              <w:t>/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末</w:t>
            </w: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20</w:t>
            </w: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年度</w:t>
            </w: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eastAsia="zh-Hans"/>
              </w:rPr>
              <w:t>/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末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增长率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营业收入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净利润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研发投入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负债总额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所有者权益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color w:val="auto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获得专利情况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实用新型专利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软件著作权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其他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szCs w:val="21"/>
                <w:highlight w:val="none"/>
              </w:rPr>
              <w:t>获得股权投资情况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投资机构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投资额（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万元</w:t>
            </w: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估值（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万元</w:t>
            </w: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）</w:t>
            </w: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Cs w:val="21"/>
                <w:highlight w:val="none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Cs w:val="21"/>
                <w:highlight w:val="none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Cs w:val="21"/>
                <w:highlight w:val="none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984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基层工信部门意见</w:t>
            </w:r>
          </w:p>
        </w:tc>
      </w:tr>
      <w:tr>
        <w:trPr>
          <w:trHeight w:val="598" w:hRule="atLeast"/>
          <w:jc w:val="center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县区工信部门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/>
                <w:color w:val="auto"/>
                <w:kern w:val="0"/>
                <w:szCs w:val="21"/>
                <w:highlight w:val="none"/>
              </w:rPr>
              <w:t>市州工信部门</w:t>
            </w:r>
          </w:p>
        </w:tc>
      </w:tr>
      <w:tr>
        <w:trPr>
          <w:trHeight w:val="2511" w:hRule="atLeast"/>
          <w:jc w:val="center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kern w:val="0"/>
          <w:sz w:val="24"/>
          <w:szCs w:val="24"/>
          <w:highlight w:val="none"/>
        </w:rPr>
        <w:br w:type="page"/>
      </w:r>
    </w:p>
    <w:p>
      <w:pPr>
        <w:numPr>
          <w:ilvl w:val="0"/>
          <w:numId w:val="1"/>
        </w:numPr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符合专精特新专板挂牌条件的证明材料</w:t>
      </w:r>
    </w:p>
    <w:p>
      <w:pPr>
        <w:pStyle w:val="2"/>
        <w:numPr>
          <w:ilvl w:val="0"/>
          <w:numId w:val="0"/>
        </w:numPr>
        <w:jc w:val="center"/>
        <w:rPr>
          <w:rFonts w:hint="default" w:ascii="Times New Roman Regular" w:hAnsi="Times New Roman Regular" w:eastAsia="仿宋" w:cs="Times New Roman Regular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4"/>
          <w:szCs w:val="24"/>
          <w:lang w:val="en-US" w:eastAsia="zh-CN"/>
        </w:rPr>
        <w:t>对照挂牌条件提供材料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left"/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0A32"/>
    <w:multiLevelType w:val="singleLevel"/>
    <w:tmpl w:val="9A290A3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2YzOTQ0NDQxMzhmNjdkY2M2NDdmOTY3MzIxM2YifQ=="/>
  </w:docVars>
  <w:rsids>
    <w:rsidRoot w:val="00000000"/>
    <w:rsid w:val="01FF6BE0"/>
    <w:rsid w:val="25E847EB"/>
    <w:rsid w:val="25EFFBF3"/>
    <w:rsid w:val="25F71714"/>
    <w:rsid w:val="2E9B5FEE"/>
    <w:rsid w:val="2EE0BAAA"/>
    <w:rsid w:val="4A3634C7"/>
    <w:rsid w:val="4C566958"/>
    <w:rsid w:val="539964A9"/>
    <w:rsid w:val="6D4A6C7D"/>
    <w:rsid w:val="75FBF05D"/>
    <w:rsid w:val="79FF10A0"/>
    <w:rsid w:val="7FA3F86F"/>
    <w:rsid w:val="9EA7C464"/>
    <w:rsid w:val="E8B5FB90"/>
    <w:rsid w:val="FE7F4C4B"/>
    <w:rsid w:val="FFBB5639"/>
    <w:rsid w:val="FFE5B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2"/>
    <w:basedOn w:val="1"/>
    <w:next w:val="1"/>
    <w:qFormat/>
    <w:uiPriority w:val="0"/>
    <w:pPr>
      <w:kinsoku w:val="0"/>
      <w:autoSpaceDE w:val="0"/>
      <w:autoSpaceDN w:val="0"/>
      <w:adjustRightInd w:val="0"/>
      <w:snapToGrid w:val="0"/>
      <w:ind w:left="420" w:leftChars="20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2024-06-29T17:57:00Z</dcterms:created>
  <dc:creator>刘振</dc:creator>
  <cp:lastModifiedBy>王玮炜</cp:lastModifiedBy>
  <dcterms:modified xsi:type="dcterms:W3CDTF">2024-07-04T13:01:32Z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394B373A14CA436DA9D24962F55BF8E6_12</vt:lpwstr>
  </property>
</Properties>
</file>