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adjustRightInd w:val="0"/>
        <w:snapToGrid w:val="0"/>
        <w:spacing w:beforeAutospacing="0" w:afterAutospacing="0" w:line="600" w:lineRule="exact"/>
        <w:jc w:val="both"/>
        <w:rPr>
          <w:rFonts w:ascii="Times New Roman" w:hAnsi="Times New Roman" w:eastAsia="黑体"/>
          <w:kern w:val="21"/>
          <w:sz w:val="32"/>
          <w:szCs w:val="32"/>
          <w:shd w:val="clear" w:color="auto" w:fill="FFFFFF"/>
        </w:rPr>
      </w:pPr>
      <w:r>
        <w:rPr>
          <w:rFonts w:ascii="Times New Roman" w:hAnsi="Times New Roman" w:eastAsia="黑体"/>
          <w:kern w:val="21"/>
          <w:sz w:val="32"/>
          <w:szCs w:val="32"/>
          <w:shd w:val="clear" w:color="auto" w:fill="FFFFFF"/>
        </w:rPr>
        <w:t>附件2</w:t>
      </w:r>
    </w:p>
    <w:p>
      <w:pPr>
        <w:pStyle w:val="2"/>
        <w:shd w:val="clear" w:color="auto" w:fill="FFFFFF"/>
        <w:adjustRightInd w:val="0"/>
        <w:snapToGrid w:val="0"/>
        <w:spacing w:beforeAutospacing="0" w:afterAutospacing="0" w:line="600" w:lineRule="exact"/>
        <w:jc w:val="center"/>
        <w:rPr>
          <w:rFonts w:ascii="Times New Roman" w:hAnsi="Times New Roman" w:eastAsia="方正小标宋简体"/>
          <w:kern w:val="21"/>
          <w:sz w:val="44"/>
          <w:szCs w:val="44"/>
          <w:shd w:val="clear" w:color="auto" w:fill="FFFFFF"/>
        </w:rPr>
      </w:pPr>
      <w:bookmarkStart w:id="0" w:name="_GoBack"/>
      <w:r>
        <w:rPr>
          <w:rFonts w:ascii="Times New Roman" w:hAnsi="Times New Roman" w:eastAsia="方正小标宋简体"/>
          <w:color w:val="000000"/>
          <w:sz w:val="44"/>
          <w:szCs w:val="44"/>
          <w:lang w:bidi="ar"/>
        </w:rPr>
        <w:t>县（市、区）窗口平台评价指标体系表</w:t>
      </w:r>
    </w:p>
    <w:bookmarkEnd w:id="0"/>
    <w:tbl>
      <w:tblPr>
        <w:tblStyle w:val="3"/>
        <w:tblW w:w="14725" w:type="dxa"/>
        <w:jc w:val="center"/>
        <w:tblLayout w:type="autofit"/>
        <w:tblCellMar>
          <w:top w:w="0" w:type="dxa"/>
          <w:left w:w="108" w:type="dxa"/>
          <w:bottom w:w="0" w:type="dxa"/>
          <w:right w:w="108" w:type="dxa"/>
        </w:tblCellMar>
      </w:tblPr>
      <w:tblGrid>
        <w:gridCol w:w="1361"/>
        <w:gridCol w:w="3048"/>
        <w:gridCol w:w="10316"/>
      </w:tblGrid>
      <w:tr>
        <w:tblPrEx>
          <w:tblCellMar>
            <w:top w:w="0" w:type="dxa"/>
            <w:left w:w="108" w:type="dxa"/>
            <w:bottom w:w="0" w:type="dxa"/>
            <w:right w:w="108" w:type="dxa"/>
          </w:tblCellMar>
        </w:tblPrEx>
        <w:trPr>
          <w:trHeight w:val="555" w:hRule="atLeast"/>
          <w:tblHeader/>
          <w:jc w:val="center"/>
        </w:trPr>
        <w:tc>
          <w:tcPr>
            <w:tcW w:w="1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一级指标</w:t>
            </w:r>
          </w:p>
        </w:tc>
        <w:tc>
          <w:tcPr>
            <w:tcW w:w="3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二级指标</w:t>
            </w:r>
          </w:p>
        </w:tc>
        <w:tc>
          <w:tcPr>
            <w:tcW w:w="10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指标说明</w:t>
            </w:r>
          </w:p>
        </w:tc>
      </w:tr>
      <w:tr>
        <w:tblPrEx>
          <w:tblCellMar>
            <w:top w:w="0" w:type="dxa"/>
            <w:left w:w="108" w:type="dxa"/>
            <w:bottom w:w="0" w:type="dxa"/>
            <w:right w:w="108" w:type="dxa"/>
          </w:tblCellMar>
        </w:tblPrEx>
        <w:trPr>
          <w:trHeight w:val="737" w:hRule="atLeast"/>
          <w:jc w:val="center"/>
        </w:trPr>
        <w:tc>
          <w:tcPr>
            <w:tcW w:w="13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仿宋"/>
                <w:color w:val="000000"/>
                <w:sz w:val="24"/>
              </w:rPr>
            </w:pPr>
            <w:r>
              <w:rPr>
                <w:rFonts w:ascii="Times New Roman" w:hAnsi="Times New Roman" w:eastAsia="仿宋"/>
                <w:color w:val="000000"/>
                <w:kern w:val="0"/>
                <w:sz w:val="24"/>
                <w:lang w:bidi="ar"/>
              </w:rPr>
              <w:t>服务能力</w:t>
            </w:r>
            <w:r>
              <w:rPr>
                <w:rFonts w:ascii="Times New Roman" w:hAnsi="Times New Roman" w:eastAsia="仿宋"/>
                <w:color w:val="000000"/>
                <w:kern w:val="0"/>
                <w:sz w:val="24"/>
                <w:lang w:bidi="ar"/>
              </w:rPr>
              <w:br w:type="textWrapping"/>
            </w:r>
            <w:r>
              <w:rPr>
                <w:rFonts w:ascii="Times New Roman" w:hAnsi="Times New Roman" w:eastAsia="仿宋"/>
                <w:color w:val="000000"/>
                <w:kern w:val="0"/>
                <w:sz w:val="24"/>
                <w:lang w:bidi="ar"/>
              </w:rPr>
              <w:t>（10分）</w:t>
            </w:r>
          </w:p>
        </w:tc>
        <w:tc>
          <w:tcPr>
            <w:tcW w:w="3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Fonts w:ascii="Times New Roman" w:hAnsi="Times New Roman" w:eastAsia="仿宋"/>
                <w:color w:val="000000"/>
                <w:kern w:val="0"/>
                <w:sz w:val="24"/>
                <w:lang w:bidi="ar"/>
              </w:rPr>
              <w:t>1、服务资产和人员（3分）</w:t>
            </w:r>
          </w:p>
        </w:tc>
        <w:tc>
          <w:tcPr>
            <w:tcW w:w="10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Fonts w:ascii="Times New Roman" w:hAnsi="Times New Roman" w:eastAsia="仿宋"/>
                <w:color w:val="000000"/>
                <w:kern w:val="0"/>
                <w:sz w:val="24"/>
                <w:lang w:bidi="ar"/>
              </w:rPr>
              <w:t>服务资产同比增长的，得1分；专职服务人员5人以上的，得2分。（以提供的财务报表、专职服务人员社保缴费单明细或聘用合同及学历、职称、专业资格证书等材料为准）</w:t>
            </w:r>
          </w:p>
        </w:tc>
      </w:tr>
      <w:tr>
        <w:tblPrEx>
          <w:tblCellMar>
            <w:top w:w="0" w:type="dxa"/>
            <w:left w:w="108" w:type="dxa"/>
            <w:bottom w:w="0" w:type="dxa"/>
            <w:right w:w="108" w:type="dxa"/>
          </w:tblCellMar>
        </w:tblPrEx>
        <w:trPr>
          <w:trHeight w:val="964"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3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Fonts w:ascii="Times New Roman" w:hAnsi="Times New Roman" w:eastAsia="仿宋"/>
                <w:color w:val="000000"/>
                <w:kern w:val="0"/>
                <w:sz w:val="24"/>
                <w:lang w:bidi="ar"/>
              </w:rPr>
              <w:t>2、服务设施（2分）</w:t>
            </w:r>
          </w:p>
        </w:tc>
        <w:tc>
          <w:tcPr>
            <w:tcW w:w="10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Fonts w:ascii="Times New Roman" w:hAnsi="Times New Roman" w:eastAsia="仿宋"/>
                <w:color w:val="000000"/>
                <w:kern w:val="0"/>
                <w:sz w:val="24"/>
                <w:lang w:bidi="ar"/>
              </w:rPr>
              <w:t>具有开展专业服务所应具备的独立的服务场所、设备设施、线上智能服务工具、专业服务资质的，得2分。少一项扣0.5分。（以提供的平台场地功能分区照片、资质证明、线上服务工具等材料为准）</w:t>
            </w:r>
          </w:p>
        </w:tc>
      </w:tr>
      <w:tr>
        <w:tblPrEx>
          <w:tblCellMar>
            <w:top w:w="0" w:type="dxa"/>
            <w:left w:w="108" w:type="dxa"/>
            <w:bottom w:w="0" w:type="dxa"/>
            <w:right w:w="108" w:type="dxa"/>
          </w:tblCellMar>
        </w:tblPrEx>
        <w:trPr>
          <w:trHeight w:val="737"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3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Fonts w:ascii="Times New Roman" w:hAnsi="Times New Roman" w:eastAsia="仿宋"/>
                <w:color w:val="000000"/>
                <w:kern w:val="0"/>
                <w:sz w:val="24"/>
                <w:lang w:bidi="ar"/>
              </w:rPr>
              <w:t>3、服务保障（2分）</w:t>
            </w:r>
          </w:p>
        </w:tc>
        <w:tc>
          <w:tcPr>
            <w:tcW w:w="10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Fonts w:ascii="Times New Roman" w:hAnsi="Times New Roman" w:eastAsia="仿宋"/>
                <w:color w:val="000000"/>
                <w:kern w:val="0"/>
                <w:sz w:val="24"/>
                <w:lang w:bidi="ar"/>
              </w:rPr>
              <w:t>建立服务承诺、服务公约、项目跟踪管理制度、满意度评价及服务工作归档等完整服务制度的，得1分；对服务人员开展业务培训和继续教育的，得1分。（以提供的相关资料为准）</w:t>
            </w:r>
          </w:p>
        </w:tc>
      </w:tr>
      <w:tr>
        <w:tblPrEx>
          <w:tblCellMar>
            <w:top w:w="0" w:type="dxa"/>
            <w:left w:w="108" w:type="dxa"/>
            <w:bottom w:w="0" w:type="dxa"/>
            <w:right w:w="108" w:type="dxa"/>
          </w:tblCellMar>
        </w:tblPrEx>
        <w:trPr>
          <w:trHeight w:val="68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3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Fonts w:ascii="Times New Roman" w:hAnsi="Times New Roman" w:eastAsia="仿宋"/>
                <w:color w:val="000000"/>
                <w:kern w:val="0"/>
                <w:sz w:val="24"/>
                <w:lang w:bidi="ar"/>
              </w:rPr>
              <w:t>4、服务协作支撑</w:t>
            </w:r>
            <w:r>
              <w:rPr>
                <w:rFonts w:ascii="Times New Roman" w:hAnsi="Times New Roman" w:eastAsia="仿宋"/>
                <w:color w:val="000000"/>
                <w:kern w:val="0"/>
                <w:sz w:val="24"/>
                <w:lang w:bidi="ar"/>
              </w:rPr>
              <w:br w:type="textWrapping"/>
            </w:r>
            <w:r>
              <w:rPr>
                <w:rFonts w:ascii="Times New Roman" w:hAnsi="Times New Roman" w:eastAsia="仿宋"/>
                <w:color w:val="000000"/>
                <w:kern w:val="0"/>
                <w:sz w:val="24"/>
                <w:lang w:bidi="ar"/>
              </w:rPr>
              <w:t>（3分）</w:t>
            </w:r>
          </w:p>
        </w:tc>
        <w:tc>
          <w:tcPr>
            <w:tcW w:w="10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Fonts w:ascii="Times New Roman" w:hAnsi="Times New Roman" w:eastAsia="仿宋"/>
                <w:color w:val="000000"/>
                <w:kern w:val="0"/>
                <w:sz w:val="24"/>
                <w:lang w:bidi="ar"/>
              </w:rPr>
              <w:t>积极协同工信部门、其他涉企职能部门、省枢纽平台开展各类重点工作的宣传、发布、组织、服务效果跟踪工作，由市州工信局、省平台综合评定。</w:t>
            </w:r>
          </w:p>
        </w:tc>
      </w:tr>
      <w:tr>
        <w:tblPrEx>
          <w:tblCellMar>
            <w:top w:w="0" w:type="dxa"/>
            <w:left w:w="108" w:type="dxa"/>
            <w:bottom w:w="0" w:type="dxa"/>
            <w:right w:w="108" w:type="dxa"/>
          </w:tblCellMar>
        </w:tblPrEx>
        <w:trPr>
          <w:trHeight w:val="794" w:hRule="atLeast"/>
          <w:jc w:val="center"/>
        </w:trPr>
        <w:tc>
          <w:tcPr>
            <w:tcW w:w="13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仿宋"/>
                <w:color w:val="000000"/>
                <w:sz w:val="24"/>
              </w:rPr>
            </w:pPr>
            <w:r>
              <w:rPr>
                <w:rFonts w:ascii="Times New Roman" w:hAnsi="Times New Roman" w:eastAsia="仿宋"/>
                <w:color w:val="000000"/>
                <w:kern w:val="0"/>
                <w:sz w:val="24"/>
                <w:lang w:bidi="ar"/>
              </w:rPr>
              <w:t>服务重点</w:t>
            </w:r>
            <w:r>
              <w:rPr>
                <w:rFonts w:ascii="Times New Roman" w:hAnsi="Times New Roman" w:eastAsia="仿宋"/>
                <w:color w:val="000000"/>
                <w:kern w:val="0"/>
                <w:sz w:val="24"/>
                <w:lang w:bidi="ar"/>
              </w:rPr>
              <w:br w:type="textWrapping"/>
            </w:r>
            <w:r>
              <w:rPr>
                <w:rFonts w:ascii="Times New Roman" w:hAnsi="Times New Roman" w:eastAsia="仿宋"/>
                <w:color w:val="000000"/>
                <w:kern w:val="0"/>
                <w:sz w:val="24"/>
                <w:lang w:bidi="ar"/>
              </w:rPr>
              <w:t>（50分）</w:t>
            </w:r>
          </w:p>
        </w:tc>
        <w:tc>
          <w:tcPr>
            <w:tcW w:w="304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spacing w:line="320" w:lineRule="exact"/>
              <w:textAlignment w:val="center"/>
              <w:rPr>
                <w:rFonts w:ascii="Times New Roman" w:hAnsi="Times New Roman" w:eastAsia="仿宋"/>
                <w:color w:val="000000"/>
                <w:kern w:val="0"/>
                <w:sz w:val="24"/>
                <w:lang w:bidi="ar"/>
              </w:rPr>
            </w:pPr>
            <w:r>
              <w:rPr>
                <w:rFonts w:ascii="Times New Roman" w:hAnsi="Times New Roman" w:eastAsia="仿宋"/>
                <w:color w:val="000000"/>
                <w:kern w:val="0"/>
                <w:sz w:val="24"/>
                <w:lang w:bidi="ar"/>
              </w:rPr>
              <w:t>助推“智赋万企”行动</w:t>
            </w:r>
          </w:p>
          <w:p>
            <w:pPr>
              <w:widowControl/>
              <w:numPr>
                <w:ilvl w:val="0"/>
                <w:numId w:val="0"/>
              </w:numPr>
              <w:spacing w:line="320" w:lineRule="exact"/>
              <w:textAlignment w:val="center"/>
              <w:rPr>
                <w:rFonts w:ascii="Times New Roman" w:hAnsi="Times New Roman" w:eastAsia="仿宋"/>
                <w:color w:val="000000"/>
                <w:sz w:val="24"/>
              </w:rPr>
            </w:pPr>
            <w:r>
              <w:rPr>
                <w:rFonts w:ascii="Times New Roman" w:hAnsi="Times New Roman" w:eastAsia="仿宋"/>
                <w:color w:val="000000"/>
                <w:kern w:val="0"/>
                <w:sz w:val="24"/>
                <w:lang w:bidi="ar"/>
              </w:rPr>
              <w:t>（15分）</w:t>
            </w:r>
          </w:p>
        </w:tc>
        <w:tc>
          <w:tcPr>
            <w:tcW w:w="10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Fonts w:ascii="Times New Roman" w:hAnsi="Times New Roman" w:eastAsia="仿宋"/>
                <w:color w:val="000000"/>
                <w:kern w:val="0"/>
                <w:sz w:val="24"/>
                <w:lang w:bidi="ar"/>
              </w:rPr>
              <w:t>开展各类“智赋万企”推进会、供需对接会、进园区入企业服务活动2场以上的，得5分，未完成的不得分；按要求报送“智赋万企”相关服务数据的，得10分。</w:t>
            </w:r>
          </w:p>
        </w:tc>
      </w:tr>
      <w:tr>
        <w:tblPrEx>
          <w:tblCellMar>
            <w:top w:w="0" w:type="dxa"/>
            <w:left w:w="108" w:type="dxa"/>
            <w:bottom w:w="0" w:type="dxa"/>
            <w:right w:w="108" w:type="dxa"/>
          </w:tblCellMar>
        </w:tblPrEx>
        <w:trPr>
          <w:trHeight w:val="794"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3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Fonts w:ascii="Times New Roman" w:hAnsi="Times New Roman" w:eastAsia="仿宋"/>
                <w:color w:val="000000"/>
                <w:kern w:val="0"/>
                <w:sz w:val="24"/>
                <w:lang w:bidi="ar"/>
              </w:rPr>
              <w:t>6、服务中小企业商业价值信用贷款改革试点（15分）</w:t>
            </w:r>
          </w:p>
        </w:tc>
        <w:tc>
          <w:tcPr>
            <w:tcW w:w="10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Fonts w:ascii="Times New Roman" w:hAnsi="Times New Roman" w:eastAsia="仿宋"/>
                <w:color w:val="000000"/>
                <w:kern w:val="0"/>
                <w:sz w:val="24"/>
                <w:lang w:bidi="ar"/>
              </w:rPr>
              <w:t>“湘企融”企业注册认证数、融资活动促进场次数、融资金额数3项指标均完成目标的，得10分，未完成的按比例扣分；按要求报送商业价值信用贷款改革试点相关服务数据的，得5分。</w:t>
            </w:r>
          </w:p>
        </w:tc>
      </w:tr>
      <w:tr>
        <w:tblPrEx>
          <w:tblCellMar>
            <w:top w:w="0" w:type="dxa"/>
            <w:left w:w="108" w:type="dxa"/>
            <w:bottom w:w="0" w:type="dxa"/>
            <w:right w:w="108" w:type="dxa"/>
          </w:tblCellMar>
        </w:tblPrEx>
        <w:trPr>
          <w:trHeight w:val="90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3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Fonts w:ascii="Times New Roman" w:hAnsi="Times New Roman" w:eastAsia="仿宋"/>
                <w:color w:val="000000"/>
                <w:kern w:val="0"/>
                <w:sz w:val="24"/>
                <w:lang w:bidi="ar"/>
              </w:rPr>
              <w:t>7、数字化赋能、科技成果赋智、质量标准品牌赋值中小企业专项行动（10分）</w:t>
            </w:r>
          </w:p>
        </w:tc>
        <w:tc>
          <w:tcPr>
            <w:tcW w:w="10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Fonts w:ascii="Times New Roman" w:hAnsi="Times New Roman" w:eastAsia="仿宋"/>
                <w:color w:val="000000"/>
                <w:kern w:val="0"/>
                <w:sz w:val="24"/>
                <w:lang w:bidi="ar"/>
              </w:rPr>
              <w:t>主办、承办并在后台发布的数字化赋能、科技成果赋智、质量标准品牌赋值中小企业专项行动完整服务活动的，1分/次，累计最高分10分。</w:t>
            </w:r>
          </w:p>
        </w:tc>
      </w:tr>
      <w:tr>
        <w:tblPrEx>
          <w:tblCellMar>
            <w:top w:w="0" w:type="dxa"/>
            <w:left w:w="108" w:type="dxa"/>
            <w:bottom w:w="0" w:type="dxa"/>
            <w:right w:w="108" w:type="dxa"/>
          </w:tblCellMar>
        </w:tblPrEx>
        <w:trPr>
          <w:trHeight w:val="737"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3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Fonts w:ascii="Times New Roman" w:hAnsi="Times New Roman" w:eastAsia="仿宋"/>
                <w:color w:val="000000"/>
                <w:kern w:val="0"/>
                <w:sz w:val="24"/>
                <w:lang w:bidi="ar"/>
              </w:rPr>
              <w:t>8、“一起益企”中小微企业专项服务行动（10分）</w:t>
            </w:r>
          </w:p>
        </w:tc>
        <w:tc>
          <w:tcPr>
            <w:tcW w:w="10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Fonts w:ascii="Times New Roman" w:hAnsi="Times New Roman" w:eastAsia="仿宋"/>
                <w:color w:val="000000"/>
                <w:kern w:val="0"/>
                <w:sz w:val="24"/>
                <w:lang w:bidi="ar"/>
              </w:rPr>
              <w:t>主办、承办并在后台发布的政策宣贯、拓展市场、引才育才、法律服务等“一起益企”服务活动的，1分/次，累计最高分10分。未开展“一起益企”、中小企业服务月活动的，不得分。</w:t>
            </w:r>
          </w:p>
        </w:tc>
      </w:tr>
      <w:tr>
        <w:tblPrEx>
          <w:tblCellMar>
            <w:top w:w="0" w:type="dxa"/>
            <w:left w:w="108" w:type="dxa"/>
            <w:bottom w:w="0" w:type="dxa"/>
            <w:right w:w="108" w:type="dxa"/>
          </w:tblCellMar>
        </w:tblPrEx>
        <w:trPr>
          <w:trHeight w:val="1120" w:hRule="atLeast"/>
          <w:jc w:val="center"/>
        </w:trPr>
        <w:tc>
          <w:tcPr>
            <w:tcW w:w="13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仿宋"/>
                <w:color w:val="000000"/>
                <w:sz w:val="24"/>
              </w:rPr>
            </w:pPr>
            <w:r>
              <w:rPr>
                <w:rFonts w:ascii="Times New Roman" w:hAnsi="Times New Roman" w:eastAsia="仿宋"/>
                <w:color w:val="000000"/>
                <w:kern w:val="0"/>
                <w:sz w:val="24"/>
                <w:lang w:bidi="ar"/>
              </w:rPr>
              <w:t>服务成效</w:t>
            </w:r>
            <w:r>
              <w:rPr>
                <w:rFonts w:ascii="Times New Roman" w:hAnsi="Times New Roman" w:eastAsia="仿宋"/>
                <w:color w:val="000000"/>
                <w:kern w:val="0"/>
                <w:sz w:val="24"/>
                <w:lang w:bidi="ar"/>
              </w:rPr>
              <w:br w:type="textWrapping"/>
            </w:r>
            <w:r>
              <w:rPr>
                <w:rFonts w:ascii="Times New Roman" w:hAnsi="Times New Roman" w:eastAsia="仿宋"/>
                <w:color w:val="000000"/>
                <w:kern w:val="0"/>
                <w:sz w:val="24"/>
                <w:lang w:bidi="ar"/>
              </w:rPr>
              <w:t>（25分）</w:t>
            </w:r>
          </w:p>
        </w:tc>
        <w:tc>
          <w:tcPr>
            <w:tcW w:w="3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Fonts w:ascii="Times New Roman" w:hAnsi="Times New Roman" w:eastAsia="仿宋"/>
                <w:color w:val="000000"/>
                <w:kern w:val="0"/>
                <w:sz w:val="24"/>
                <w:lang w:bidi="ar"/>
              </w:rPr>
              <w:t>9、服务吸引力（5分）</w:t>
            </w:r>
          </w:p>
        </w:tc>
        <w:tc>
          <w:tcPr>
            <w:tcW w:w="10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Fonts w:ascii="Times New Roman" w:hAnsi="Times New Roman" w:eastAsia="仿宋"/>
                <w:color w:val="000000"/>
                <w:kern w:val="0"/>
                <w:sz w:val="24"/>
                <w:lang w:bidi="ar"/>
              </w:rPr>
              <w:t>包括线下活动和线上活动参与人数。线下活动平均每场次参加人数30人以上的，得3分；30人以上的，得5分。线上活动平均每场次参加人数100人及以下的，得2分；101-500人的，得3分；500人以上的，得5分，单项活动线下线上不累计计分，按最高分计，累计最高分5分。</w:t>
            </w:r>
          </w:p>
        </w:tc>
      </w:tr>
      <w:tr>
        <w:tblPrEx>
          <w:tblCellMar>
            <w:top w:w="0" w:type="dxa"/>
            <w:left w:w="108" w:type="dxa"/>
            <w:bottom w:w="0" w:type="dxa"/>
            <w:right w:w="108" w:type="dxa"/>
          </w:tblCellMar>
        </w:tblPrEx>
        <w:trPr>
          <w:trHeight w:val="100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3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Fonts w:ascii="Times New Roman" w:hAnsi="Times New Roman" w:eastAsia="仿宋"/>
                <w:color w:val="000000"/>
                <w:kern w:val="0"/>
                <w:sz w:val="24"/>
                <w:lang w:bidi="ar"/>
              </w:rPr>
              <w:t>10、服务满意度（5分）</w:t>
            </w:r>
          </w:p>
        </w:tc>
        <w:tc>
          <w:tcPr>
            <w:tcW w:w="10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Fonts w:ascii="Times New Roman" w:hAnsi="Times New Roman" w:eastAsia="仿宋"/>
                <w:color w:val="000000"/>
                <w:kern w:val="0"/>
                <w:sz w:val="24"/>
                <w:lang w:bidi="ar"/>
              </w:rPr>
              <w:t>随机抽查10家服务期内受服务企业开展满意度调查。满意度达到70%-85%，得1分；满意度85%（含）-95%，得3分；满意度95%及以上，得5分。服务情况不属实的或者有服务投诉，每家（次）扣0.5分。</w:t>
            </w:r>
          </w:p>
        </w:tc>
      </w:tr>
      <w:tr>
        <w:tblPrEx>
          <w:tblCellMar>
            <w:top w:w="0" w:type="dxa"/>
            <w:left w:w="108" w:type="dxa"/>
            <w:bottom w:w="0" w:type="dxa"/>
            <w:right w:w="108" w:type="dxa"/>
          </w:tblCellMar>
        </w:tblPrEx>
        <w:trPr>
          <w:trHeight w:val="90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304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20" w:lineRule="exact"/>
              <w:textAlignment w:val="center"/>
              <w:rPr>
                <w:rFonts w:ascii="Times New Roman" w:hAnsi="Times New Roman" w:eastAsia="仿宋"/>
                <w:color w:val="000000"/>
                <w:kern w:val="0"/>
                <w:sz w:val="24"/>
                <w:lang w:bidi="ar"/>
              </w:rPr>
            </w:pPr>
            <w:r>
              <w:rPr>
                <w:rFonts w:ascii="Times New Roman" w:hAnsi="Times New Roman" w:eastAsia="仿宋"/>
                <w:color w:val="000000"/>
                <w:kern w:val="0"/>
                <w:sz w:val="24"/>
                <w:lang w:bidi="ar"/>
              </w:rPr>
              <w:t>11</w:t>
            </w:r>
            <w:r>
              <w:rPr>
                <w:rFonts w:hint="eastAsia" w:ascii="Times New Roman" w:hAnsi="Times New Roman" w:eastAsia="仿宋"/>
                <w:color w:val="000000"/>
                <w:kern w:val="0"/>
                <w:sz w:val="24"/>
                <w:lang w:bidi="ar"/>
              </w:rPr>
              <w:t>、</w:t>
            </w:r>
            <w:r>
              <w:rPr>
                <w:rFonts w:ascii="Times New Roman" w:hAnsi="Times New Roman" w:eastAsia="仿宋"/>
                <w:color w:val="000000"/>
                <w:kern w:val="0"/>
                <w:sz w:val="24"/>
                <w:lang w:bidi="ar"/>
              </w:rPr>
              <w:t>标志性服务成果</w:t>
            </w:r>
          </w:p>
          <w:p>
            <w:pPr>
              <w:widowControl/>
              <w:numPr>
                <w:ilvl w:val="0"/>
                <w:numId w:val="0"/>
              </w:numPr>
              <w:spacing w:line="320" w:lineRule="exact"/>
              <w:textAlignment w:val="center"/>
              <w:rPr>
                <w:rFonts w:ascii="Times New Roman" w:hAnsi="Times New Roman" w:eastAsia="仿宋"/>
                <w:color w:val="000000"/>
                <w:sz w:val="24"/>
              </w:rPr>
            </w:pPr>
            <w:r>
              <w:rPr>
                <w:rFonts w:ascii="Times New Roman" w:hAnsi="Times New Roman" w:eastAsia="仿宋"/>
                <w:color w:val="000000"/>
                <w:kern w:val="0"/>
                <w:sz w:val="24"/>
                <w:lang w:bidi="ar"/>
              </w:rPr>
              <w:t>（10分）</w:t>
            </w:r>
          </w:p>
        </w:tc>
        <w:tc>
          <w:tcPr>
            <w:tcW w:w="10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Fonts w:ascii="Times New Roman" w:hAnsi="Times New Roman" w:eastAsia="仿宋"/>
                <w:color w:val="000000"/>
                <w:kern w:val="0"/>
                <w:sz w:val="24"/>
                <w:lang w:bidi="ar"/>
              </w:rPr>
              <w:t>服务对象获得市级及以上荣誉的，或帮助企业获得新增融资的，1分/项，累计最高分10分。</w:t>
            </w:r>
          </w:p>
        </w:tc>
      </w:tr>
      <w:tr>
        <w:tblPrEx>
          <w:tblCellMar>
            <w:top w:w="0" w:type="dxa"/>
            <w:left w:w="108" w:type="dxa"/>
            <w:bottom w:w="0" w:type="dxa"/>
            <w:right w:w="108" w:type="dxa"/>
          </w:tblCellMar>
        </w:tblPrEx>
        <w:trPr>
          <w:trHeight w:val="90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3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Fonts w:ascii="Times New Roman" w:hAnsi="Times New Roman" w:eastAsia="仿宋"/>
                <w:color w:val="000000"/>
                <w:kern w:val="0"/>
                <w:sz w:val="24"/>
                <w:lang w:bidi="ar"/>
              </w:rPr>
              <w:t>12、社会影响力（5分）</w:t>
            </w:r>
          </w:p>
        </w:tc>
        <w:tc>
          <w:tcPr>
            <w:tcW w:w="10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Fonts w:ascii="Times New Roman" w:hAnsi="Times New Roman" w:eastAsia="仿宋"/>
                <w:color w:val="000000"/>
                <w:kern w:val="0"/>
                <w:sz w:val="24"/>
                <w:lang w:bidi="ar"/>
              </w:rPr>
              <w:t>服务活动和有关工作获得省级表彰或得到省级媒体关注报道的，3分/次；获得市级相关表彰的，2分/次；累计最高分5分。</w:t>
            </w:r>
          </w:p>
        </w:tc>
      </w:tr>
      <w:tr>
        <w:tblPrEx>
          <w:tblCellMar>
            <w:top w:w="0" w:type="dxa"/>
            <w:left w:w="108" w:type="dxa"/>
            <w:bottom w:w="0" w:type="dxa"/>
            <w:right w:w="108" w:type="dxa"/>
          </w:tblCellMar>
        </w:tblPrEx>
        <w:trPr>
          <w:trHeight w:val="900" w:hRule="atLeast"/>
          <w:jc w:val="center"/>
        </w:trPr>
        <w:tc>
          <w:tcPr>
            <w:tcW w:w="13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仿宋"/>
                <w:color w:val="000000"/>
                <w:sz w:val="24"/>
              </w:rPr>
            </w:pPr>
            <w:r>
              <w:rPr>
                <w:rFonts w:ascii="Times New Roman" w:hAnsi="Times New Roman" w:eastAsia="仿宋"/>
                <w:color w:val="000000"/>
                <w:kern w:val="0"/>
                <w:sz w:val="24"/>
                <w:lang w:bidi="ar"/>
              </w:rPr>
              <w:t>服务资源聚集度</w:t>
            </w:r>
            <w:r>
              <w:rPr>
                <w:rFonts w:ascii="Times New Roman" w:hAnsi="Times New Roman" w:eastAsia="仿宋"/>
                <w:color w:val="000000"/>
                <w:kern w:val="0"/>
                <w:sz w:val="24"/>
                <w:lang w:bidi="ar"/>
              </w:rPr>
              <w:br w:type="textWrapping"/>
            </w:r>
            <w:r>
              <w:rPr>
                <w:rFonts w:ascii="Times New Roman" w:hAnsi="Times New Roman" w:eastAsia="仿宋"/>
                <w:color w:val="000000"/>
                <w:kern w:val="0"/>
                <w:sz w:val="24"/>
                <w:lang w:bidi="ar"/>
              </w:rPr>
              <w:t>（15分）</w:t>
            </w:r>
          </w:p>
        </w:tc>
        <w:tc>
          <w:tcPr>
            <w:tcW w:w="3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Fonts w:ascii="Times New Roman" w:hAnsi="Times New Roman" w:eastAsia="仿宋"/>
                <w:color w:val="000000"/>
                <w:kern w:val="0"/>
                <w:sz w:val="24"/>
                <w:lang w:bidi="ar"/>
              </w:rPr>
              <w:t>13、建立优质专业服务机构库（5分）</w:t>
            </w:r>
          </w:p>
        </w:tc>
        <w:tc>
          <w:tcPr>
            <w:tcW w:w="10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Fonts w:ascii="Times New Roman" w:hAnsi="Times New Roman" w:eastAsia="仿宋"/>
                <w:color w:val="000000"/>
                <w:kern w:val="0"/>
                <w:sz w:val="24"/>
                <w:lang w:bidi="ar"/>
              </w:rPr>
              <w:t>建立了优质专业服务机构库的，得2分；引入、联合省制造业数字化转型生态供给资源池机构、优质投融资机构等到当地服务“专精特新”中小企业的，1分/家，累计最高分3分。</w:t>
            </w:r>
          </w:p>
        </w:tc>
      </w:tr>
      <w:tr>
        <w:tblPrEx>
          <w:tblCellMar>
            <w:top w:w="0" w:type="dxa"/>
            <w:left w:w="108" w:type="dxa"/>
            <w:bottom w:w="0" w:type="dxa"/>
            <w:right w:w="108" w:type="dxa"/>
          </w:tblCellMar>
        </w:tblPrEx>
        <w:trPr>
          <w:trHeight w:val="90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3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Fonts w:ascii="Times New Roman" w:hAnsi="Times New Roman" w:eastAsia="仿宋"/>
                <w:color w:val="000000"/>
                <w:kern w:val="0"/>
                <w:sz w:val="24"/>
                <w:lang w:bidi="ar"/>
              </w:rPr>
              <w:t>14、服务产品案例库</w:t>
            </w:r>
            <w:r>
              <w:rPr>
                <w:rFonts w:ascii="Times New Roman" w:hAnsi="Times New Roman" w:eastAsia="仿宋"/>
                <w:color w:val="000000"/>
                <w:kern w:val="0"/>
                <w:sz w:val="24"/>
                <w:lang w:bidi="ar"/>
              </w:rPr>
              <w:br w:type="textWrapping"/>
            </w:r>
            <w:r>
              <w:rPr>
                <w:rFonts w:ascii="Times New Roman" w:hAnsi="Times New Roman" w:eastAsia="仿宋"/>
                <w:color w:val="000000"/>
                <w:kern w:val="0"/>
                <w:sz w:val="24"/>
                <w:lang w:bidi="ar"/>
              </w:rPr>
              <w:t>（5分）</w:t>
            </w:r>
          </w:p>
        </w:tc>
        <w:tc>
          <w:tcPr>
            <w:tcW w:w="10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Fonts w:ascii="Times New Roman" w:hAnsi="Times New Roman" w:eastAsia="仿宋"/>
                <w:color w:val="000000"/>
                <w:kern w:val="0"/>
                <w:sz w:val="24"/>
                <w:lang w:bidi="ar"/>
              </w:rPr>
              <w:t>建立了服务产品案例库的，得3分；重点宣传和推介了典型案例的，得2分。</w:t>
            </w:r>
          </w:p>
        </w:tc>
      </w:tr>
      <w:tr>
        <w:tblPrEx>
          <w:tblCellMar>
            <w:top w:w="0" w:type="dxa"/>
            <w:left w:w="108" w:type="dxa"/>
            <w:bottom w:w="0" w:type="dxa"/>
            <w:right w:w="108" w:type="dxa"/>
          </w:tblCellMar>
        </w:tblPrEx>
        <w:trPr>
          <w:trHeight w:val="142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30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Fonts w:ascii="Times New Roman" w:hAnsi="Times New Roman" w:eastAsia="仿宋"/>
                <w:color w:val="000000"/>
                <w:kern w:val="0"/>
                <w:sz w:val="24"/>
                <w:lang w:bidi="ar"/>
              </w:rPr>
              <w:t>15、汇聚资源开展精准服务（5分）</w:t>
            </w:r>
          </w:p>
        </w:tc>
        <w:tc>
          <w:tcPr>
            <w:tcW w:w="10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Fonts w:ascii="Times New Roman" w:hAnsi="Times New Roman" w:eastAsia="仿宋"/>
                <w:color w:val="000000"/>
                <w:kern w:val="0"/>
                <w:sz w:val="24"/>
                <w:lang w:bidi="ar"/>
              </w:rPr>
              <w:t>集聚服务机构5家以上的，得1分，10家（含）以上的，得2分；与高校、科研院所、行业协会、专业服务机构等各类服务资源联合开展专场特色活动的，1分/场，累计最高分3分。（以提供的有效期内合作服务机构名单及相应的协议或合同复印件为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D7F87"/>
    <w:multiLevelType w:val="singleLevel"/>
    <w:tmpl w:val="3FFD7F87"/>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DFFF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海狼</cp:lastModifiedBy>
  <dcterms:modified xsi:type="dcterms:W3CDTF">2024-04-16T09:05:59Z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