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永中黑体" w:hAnsi="永中黑体" w:eastAsia="永中黑体" w:cs="永中黑体"/>
          <w:sz w:val="28"/>
          <w:szCs w:val="40"/>
        </w:rPr>
      </w:pPr>
      <w:r>
        <w:rPr>
          <w:rFonts w:hint="eastAsia" w:ascii="永中黑体" w:hAnsi="永中黑体" w:eastAsia="永中黑体" w:cs="永中黑体"/>
          <w:sz w:val="28"/>
          <w:szCs w:val="40"/>
        </w:rPr>
        <w:t>附件2</w:t>
      </w:r>
    </w:p>
    <w:p>
      <w:pPr>
        <w:pStyle w:val="2"/>
        <w:spacing w:line="540" w:lineRule="exact"/>
        <w:ind w:left="0" w:leftChars="0"/>
        <w:jc w:val="center"/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湖南省平板玻璃生产线清单（截至2023年12月31日）</w:t>
      </w:r>
    </w:p>
    <w:tbl>
      <w:tblPr>
        <w:tblStyle w:val="4"/>
        <w:tblW w:w="147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247"/>
        <w:gridCol w:w="2211"/>
        <w:gridCol w:w="2948"/>
        <w:gridCol w:w="1077"/>
        <w:gridCol w:w="1814"/>
        <w:gridCol w:w="1814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生产线名称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建设地点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投产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备案或核准产能（熔窑熔化能力，吨/天）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实际产能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(万重量箱/年）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rPr>
          <w:trHeight w:val="56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株洲醴陵旗滨玻璃有限公司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浮法一线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湖南省醴陵市东富工业园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2014年7月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株洲醴陵旗滨玻璃有限公司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浮法二线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湖南省醴陵市东富工业园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2014年8月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株洲醴陵旗滨玻璃有限公司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浮法三线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湖南省醴陵市东富工业园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2014年12月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株洲醴陵旗滨玻璃有限公司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浮法四线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湖南省醴陵市东富工业园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2015年6月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株洲醴陵旗滨玻璃有限公司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浮法五线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湖南省醴陵市东富工业园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2016年4月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湖南巨强再生资源科技发展有限公司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协同处置固体废物浮法一线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湖南省湘潭市湘乡市经济开发区黄金大道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>006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2014年8月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湖南巨强再生资源科技发展有限公司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协同处置固体废物浮法二线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湖南省湘潭市湘乡市经济开发区黄金大道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>006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2015年8月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湖南巨强再生资源科技发展有限公司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协同处置固体废物光伏压延三线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湖南省湘潭市湘乡市经济开发区黄金大道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>006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2019年11月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桂阳家兴新型材料有限公司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600t/d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在线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L0W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优质浮法玻璃生产线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湖南省郴州市桂阳县共和农场七队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2020年6月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360" w:lineRule="exact"/>
        <w:ind w:left="0" w:leftChars="0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备注：“实际产能”是按照《水泥玻璃行业产能置换实施办法》（工信部原〔2021〕80号）规定的《平板玻璃熔窑产能换算表》，根据熔窑日熔化量推算确定的产能。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247" w:left="1418" w:header="964" w:footer="124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永中宋体">
    <w:panose1 w:val="02010600030101010101"/>
    <w:charset w:val="86"/>
    <w:family w:val="auto"/>
    <w:pitch w:val="default"/>
    <w:sig w:usb0="00000803" w:usb1="080E0000" w:usb2="00000000" w:usb3="00000000" w:csb0="00040001" w:csb1="00000000"/>
  </w:font>
  <w:font w:name="永中粗黑">
    <w:panose1 w:val="02010600030101010101"/>
    <w:charset w:val="86"/>
    <w:family w:val="auto"/>
    <w:pitch w:val="default"/>
    <w:sig w:usb0="00000801" w:usb1="080E0000" w:usb2="00000000" w:usb3="00000000" w:csb0="00040000" w:csb1="00000000"/>
  </w:font>
  <w:font w:name="汉仪中圆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永中黑体">
    <w:panose1 w:val="02010600030101010101"/>
    <w:charset w:val="86"/>
    <w:family w:val="auto"/>
    <w:pitch w:val="default"/>
    <w:sig w:usb0="000008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文鼎CS仿宋体" w:eastAsia="文鼎CS仿宋体"/>
        <w:sz w:val="28"/>
        <w:szCs w:val="28"/>
      </w:rPr>
    </w:pPr>
    <w:r>
      <w:rPr>
        <w:rStyle w:val="6"/>
        <w:rFonts w:hint="eastAsia" w:ascii="文鼎CS仿宋体" w:eastAsia="文鼎CS仿宋体"/>
        <w:sz w:val="28"/>
        <w:szCs w:val="28"/>
      </w:rPr>
      <w:t>—</w:t>
    </w:r>
    <w:r>
      <w:rPr>
        <w:rStyle w:val="6"/>
        <w:rFonts w:hint="eastAsia" w:ascii="文鼎CS仿宋体" w:eastAsia="文鼎CS仿宋体"/>
        <w:sz w:val="28"/>
        <w:szCs w:val="28"/>
      </w:rPr>
      <w:fldChar w:fldCharType="begin"/>
    </w:r>
    <w:r>
      <w:rPr>
        <w:rStyle w:val="6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6"/>
        <w:rFonts w:hint="eastAsia" w:ascii="文鼎CS仿宋体" w:eastAsia="文鼎CS仿宋体"/>
        <w:sz w:val="28"/>
        <w:szCs w:val="28"/>
      </w:rPr>
      <w:fldChar w:fldCharType="separate"/>
    </w:r>
    <w:r>
      <w:rPr>
        <w:rStyle w:val="6"/>
        <w:rFonts w:ascii="文鼎CS仿宋体" w:eastAsia="文鼎CS仿宋体"/>
        <w:sz w:val="28"/>
        <w:szCs w:val="28"/>
      </w:rPr>
      <w:t>2</w:t>
    </w:r>
    <w:r>
      <w:rPr>
        <w:rStyle w:val="6"/>
        <w:rFonts w:hint="eastAsia" w:ascii="文鼎CS仿宋体" w:eastAsia="文鼎CS仿宋体"/>
        <w:sz w:val="28"/>
        <w:szCs w:val="28"/>
      </w:rPr>
      <w:fldChar w:fldCharType="end"/>
    </w:r>
    <w:r>
      <w:rPr>
        <w:rStyle w:val="6"/>
        <w:rFonts w:hint="eastAsia" w:ascii="文鼎CS仿宋体" w:eastAsia="文鼎CS仿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AEB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semiHidden/>
    <w:qFormat/>
    <w:uiPriority w:val="99"/>
    <w:pPr>
      <w:ind w:left="168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21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9">
    <w:name w:val="font0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4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2024-04-23T16:57:33Z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