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C40C">
      <w:pPr>
        <w:pStyle w:val="4"/>
        <w:adjustRightInd w:val="0"/>
        <w:snapToGrid w:val="0"/>
        <w:spacing w:line="600" w:lineRule="exact"/>
        <w:jc w:val="both"/>
        <w:rPr>
          <w:rFonts w:hint="default" w:ascii="Times New Roman" w:hAnsi="Times New Roman" w:eastAsia="黑体" w:cs="Times New Roman"/>
          <w:kern w:val="21"/>
          <w:sz w:val="32"/>
          <w:szCs w:val="32"/>
        </w:rPr>
      </w:pPr>
      <w:r>
        <w:rPr>
          <w:rFonts w:hint="default" w:ascii="Times New Roman" w:hAnsi="Times New Roman" w:eastAsia="黑体" w:cs="Times New Roman"/>
          <w:kern w:val="21"/>
          <w:sz w:val="32"/>
          <w:szCs w:val="32"/>
        </w:rPr>
        <w:t>附件2</w:t>
      </w:r>
    </w:p>
    <w:p w14:paraId="3A35F724">
      <w:pPr>
        <w:pStyle w:val="4"/>
        <w:adjustRightInd w:val="0"/>
        <w:snapToGrid w:val="0"/>
        <w:spacing w:line="600" w:lineRule="exact"/>
        <w:jc w:val="center"/>
        <w:rPr>
          <w:rFonts w:hint="default" w:ascii="Times New Roman" w:hAnsi="Times New Roman" w:eastAsia="方正小标宋简体" w:cs="Times New Roman"/>
          <w:color w:val="000000"/>
          <w:kern w:val="0"/>
          <w:sz w:val="40"/>
          <w:szCs w:val="40"/>
          <w:lang w:bidi="ar"/>
        </w:rPr>
      </w:pPr>
      <w:r>
        <w:rPr>
          <w:rFonts w:hint="default" w:ascii="Times New Roman" w:hAnsi="Times New Roman" w:eastAsia="方正小标宋简体" w:cs="Times New Roman"/>
          <w:color w:val="000000"/>
          <w:kern w:val="0"/>
          <w:sz w:val="40"/>
          <w:szCs w:val="40"/>
          <w:lang w:bidi="ar"/>
        </w:rPr>
        <w:t>节能减排补助资金（县域充换电设施补短板试点县预拨奖励资金）</w:t>
      </w:r>
    </w:p>
    <w:p w14:paraId="0271ECE4">
      <w:pPr>
        <w:pStyle w:val="4"/>
        <w:adjustRightInd w:val="0"/>
        <w:snapToGrid w:val="0"/>
        <w:spacing w:line="600" w:lineRule="exact"/>
        <w:jc w:val="center"/>
        <w:rPr>
          <w:rFonts w:hint="default" w:ascii="Times New Roman" w:hAnsi="Times New Roman" w:eastAsia="方正小标宋简体" w:cs="Times New Roman"/>
          <w:color w:val="000000"/>
          <w:kern w:val="0"/>
          <w:sz w:val="40"/>
          <w:szCs w:val="40"/>
          <w:lang w:bidi="ar"/>
        </w:rPr>
      </w:pPr>
      <w:r>
        <w:rPr>
          <w:rFonts w:hint="default" w:ascii="Times New Roman" w:hAnsi="Times New Roman" w:eastAsia="方正小标宋简体" w:cs="Times New Roman"/>
          <w:color w:val="000000"/>
          <w:kern w:val="0"/>
          <w:sz w:val="40"/>
          <w:szCs w:val="40"/>
          <w:lang w:bidi="ar"/>
        </w:rPr>
        <w:t>转移支付湖南省绩效自评表</w:t>
      </w:r>
    </w:p>
    <w:p w14:paraId="734E3AE4">
      <w:pPr>
        <w:pStyle w:val="4"/>
        <w:adjustRightInd w:val="0"/>
        <w:snapToGrid w:val="0"/>
        <w:spacing w:line="600" w:lineRule="exact"/>
        <w:jc w:val="center"/>
        <w:rPr>
          <w:rFonts w:hint="default" w:ascii="Times New Roman" w:hAnsi="Times New Roman" w:eastAsia="楷体" w:cs="Times New Roman"/>
          <w:kern w:val="21"/>
          <w:sz w:val="32"/>
          <w:szCs w:val="32"/>
        </w:rPr>
      </w:pPr>
      <w:r>
        <w:rPr>
          <w:rFonts w:hint="default" w:ascii="Times New Roman" w:hAnsi="Times New Roman" w:eastAsia="楷体" w:cs="Times New Roman"/>
          <w:color w:val="000000"/>
          <w:kern w:val="0"/>
          <w:sz w:val="32"/>
          <w:szCs w:val="32"/>
          <w:lang w:bidi="ar"/>
        </w:rPr>
        <w:t>（202</w:t>
      </w:r>
      <w:r>
        <w:rPr>
          <w:rFonts w:hint="default" w:ascii="Times New Roman" w:hAnsi="Times New Roman" w:eastAsia="楷体" w:cs="Times New Roman"/>
          <w:color w:val="000000"/>
          <w:kern w:val="0"/>
          <w:sz w:val="32"/>
          <w:szCs w:val="32"/>
          <w:lang w:val="en-US" w:eastAsia="zh-CN" w:bidi="ar"/>
        </w:rPr>
        <w:t>5</w:t>
      </w:r>
      <w:r>
        <w:rPr>
          <w:rFonts w:hint="default" w:ascii="Times New Roman" w:hAnsi="Times New Roman" w:eastAsia="楷体" w:cs="Times New Roman"/>
          <w:color w:val="000000"/>
          <w:kern w:val="0"/>
          <w:sz w:val="32"/>
          <w:szCs w:val="32"/>
          <w:lang w:bidi="ar"/>
        </w:rPr>
        <w:t>年度）</w:t>
      </w:r>
    </w:p>
    <w:tbl>
      <w:tblPr>
        <w:tblStyle w:val="2"/>
        <w:tblW w:w="15590" w:type="dxa"/>
        <w:jc w:val="center"/>
        <w:tblLayout w:type="fixed"/>
        <w:tblCellMar>
          <w:top w:w="0" w:type="dxa"/>
          <w:left w:w="108" w:type="dxa"/>
          <w:bottom w:w="0" w:type="dxa"/>
          <w:right w:w="108" w:type="dxa"/>
        </w:tblCellMar>
      </w:tblPr>
      <w:tblGrid>
        <w:gridCol w:w="768"/>
        <w:gridCol w:w="1069"/>
        <w:gridCol w:w="642"/>
        <w:gridCol w:w="585"/>
        <w:gridCol w:w="1866"/>
        <w:gridCol w:w="1430"/>
        <w:gridCol w:w="1950"/>
        <w:gridCol w:w="3331"/>
        <w:gridCol w:w="3949"/>
      </w:tblGrid>
      <w:tr w14:paraId="2ECD23E3">
        <w:tblPrEx>
          <w:tblCellMar>
            <w:top w:w="0" w:type="dxa"/>
            <w:left w:w="108" w:type="dxa"/>
            <w:bottom w:w="0" w:type="dxa"/>
            <w:right w:w="108" w:type="dxa"/>
          </w:tblCellMar>
        </w:tblPrEx>
        <w:trPr>
          <w:trHeight w:val="240" w:hRule="atLeast"/>
          <w:jc w:val="center"/>
        </w:trPr>
        <w:tc>
          <w:tcPr>
            <w:tcW w:w="2479" w:type="dxa"/>
            <w:gridSpan w:val="3"/>
            <w:tcBorders>
              <w:top w:val="single" w:color="000000" w:sz="4" w:space="0"/>
              <w:left w:val="single" w:color="000000" w:sz="4" w:space="0"/>
              <w:bottom w:val="single" w:color="000000" w:sz="4" w:space="0"/>
              <w:right w:val="single" w:color="000000" w:sz="4" w:space="0"/>
            </w:tcBorders>
            <w:noWrap w:val="0"/>
            <w:vAlign w:val="center"/>
          </w:tcPr>
          <w:p w14:paraId="3D0F5F05">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转移支付（项目）名称</w:t>
            </w:r>
          </w:p>
        </w:tc>
        <w:tc>
          <w:tcPr>
            <w:tcW w:w="13111" w:type="dxa"/>
            <w:gridSpan w:val="6"/>
            <w:tcBorders>
              <w:top w:val="single" w:color="000000" w:sz="4" w:space="0"/>
              <w:left w:val="single" w:color="000000" w:sz="4" w:space="0"/>
              <w:bottom w:val="single" w:color="000000" w:sz="4" w:space="0"/>
              <w:right w:val="single" w:color="000000" w:sz="4" w:space="0"/>
            </w:tcBorders>
            <w:noWrap w:val="0"/>
            <w:vAlign w:val="center"/>
          </w:tcPr>
          <w:p w14:paraId="3BEA79D0">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202</w:t>
            </w:r>
            <w:r>
              <w:rPr>
                <w:rFonts w:hint="default" w:ascii="Times New Roman" w:hAnsi="Times New Roman" w:eastAsia="仿宋" w:cs="Times New Roman"/>
                <w:color w:val="000000"/>
                <w:kern w:val="0"/>
                <w:sz w:val="20"/>
                <w:szCs w:val="20"/>
                <w:lang w:val="en-US" w:eastAsia="zh-CN" w:bidi="ar"/>
              </w:rPr>
              <w:t>5</w:t>
            </w:r>
            <w:r>
              <w:rPr>
                <w:rFonts w:hint="default" w:ascii="Times New Roman" w:hAnsi="Times New Roman" w:eastAsia="仿宋" w:cs="Times New Roman"/>
                <w:color w:val="000000"/>
                <w:kern w:val="0"/>
                <w:sz w:val="20"/>
                <w:szCs w:val="20"/>
                <w:lang w:bidi="ar"/>
              </w:rPr>
              <w:t>年节能减排补助资金（县域充换电设施补短板试点县预拨奖励资金）</w:t>
            </w:r>
          </w:p>
        </w:tc>
      </w:tr>
      <w:tr w14:paraId="2053B481">
        <w:tblPrEx>
          <w:tblCellMar>
            <w:top w:w="0" w:type="dxa"/>
            <w:left w:w="108" w:type="dxa"/>
            <w:bottom w:w="0" w:type="dxa"/>
            <w:right w:w="108" w:type="dxa"/>
          </w:tblCellMar>
        </w:tblPrEx>
        <w:trPr>
          <w:trHeight w:val="240" w:hRule="atLeast"/>
          <w:jc w:val="center"/>
        </w:trPr>
        <w:tc>
          <w:tcPr>
            <w:tcW w:w="2479" w:type="dxa"/>
            <w:gridSpan w:val="3"/>
            <w:tcBorders>
              <w:top w:val="single" w:color="000000" w:sz="4" w:space="0"/>
              <w:left w:val="single" w:color="000000" w:sz="4" w:space="0"/>
              <w:bottom w:val="single" w:color="000000" w:sz="4" w:space="0"/>
              <w:right w:val="single" w:color="000000" w:sz="4" w:space="0"/>
            </w:tcBorders>
            <w:noWrap w:val="0"/>
            <w:vAlign w:val="center"/>
          </w:tcPr>
          <w:p w14:paraId="2347F850">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中央主管部门</w:t>
            </w:r>
          </w:p>
        </w:tc>
        <w:tc>
          <w:tcPr>
            <w:tcW w:w="13111" w:type="dxa"/>
            <w:gridSpan w:val="6"/>
            <w:tcBorders>
              <w:top w:val="single" w:color="000000" w:sz="4" w:space="0"/>
              <w:left w:val="single" w:color="000000" w:sz="4" w:space="0"/>
              <w:bottom w:val="single" w:color="000000" w:sz="4" w:space="0"/>
              <w:right w:val="single" w:color="000000" w:sz="4" w:space="0"/>
            </w:tcBorders>
            <w:noWrap w:val="0"/>
            <w:vAlign w:val="center"/>
          </w:tcPr>
          <w:p w14:paraId="50F07F7C">
            <w:pPr>
              <w:widowControl/>
              <w:spacing w:line="300" w:lineRule="exact"/>
              <w:jc w:val="center"/>
              <w:textAlignment w:val="center"/>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kern w:val="0"/>
                <w:sz w:val="20"/>
                <w:szCs w:val="20"/>
                <w:lang w:eastAsia="zh-CN" w:bidi="ar"/>
              </w:rPr>
              <w:t>国家发展改革委、工业和信息化部、住房城乡建设部、交通运输部、国家能源局、经济建设司</w:t>
            </w:r>
          </w:p>
        </w:tc>
      </w:tr>
      <w:tr w14:paraId="47D3336C">
        <w:tblPrEx>
          <w:tblCellMar>
            <w:top w:w="0" w:type="dxa"/>
            <w:left w:w="108" w:type="dxa"/>
            <w:bottom w:w="0" w:type="dxa"/>
            <w:right w:w="108" w:type="dxa"/>
          </w:tblCellMar>
        </w:tblPrEx>
        <w:trPr>
          <w:trHeight w:val="240" w:hRule="atLeast"/>
          <w:jc w:val="center"/>
        </w:trPr>
        <w:tc>
          <w:tcPr>
            <w:tcW w:w="2479" w:type="dxa"/>
            <w:gridSpan w:val="3"/>
            <w:tcBorders>
              <w:top w:val="single" w:color="000000" w:sz="4" w:space="0"/>
              <w:left w:val="single" w:color="000000" w:sz="4" w:space="0"/>
              <w:bottom w:val="single" w:color="000000" w:sz="4" w:space="0"/>
              <w:right w:val="single" w:color="000000" w:sz="4" w:space="0"/>
            </w:tcBorders>
            <w:noWrap w:val="0"/>
            <w:vAlign w:val="center"/>
          </w:tcPr>
          <w:p w14:paraId="707D2224">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省级财政部门</w:t>
            </w: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B24BF15">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湖南省财政厅</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00A249C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省级主管部门</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5802F5AC">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湖南省工业和信息化厅、湖南省交通运输厅</w:t>
            </w:r>
          </w:p>
        </w:tc>
      </w:tr>
      <w:tr w14:paraId="148E751F">
        <w:tblPrEx>
          <w:tblCellMar>
            <w:top w:w="0" w:type="dxa"/>
            <w:left w:w="108" w:type="dxa"/>
            <w:bottom w:w="0" w:type="dxa"/>
            <w:right w:w="108" w:type="dxa"/>
          </w:tblCellMar>
        </w:tblPrEx>
        <w:trPr>
          <w:trHeight w:val="240" w:hRule="atLeast"/>
          <w:jc w:val="center"/>
        </w:trPr>
        <w:tc>
          <w:tcPr>
            <w:tcW w:w="247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90B2A7">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项目资金（万元）</w:t>
            </w: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6481E4D0">
            <w:pPr>
              <w:widowControl/>
              <w:spacing w:line="300" w:lineRule="exact"/>
              <w:jc w:val="center"/>
              <w:rPr>
                <w:rFonts w:hint="default" w:ascii="Times New Roman" w:hAnsi="Times New Roman" w:eastAsia="仿宋" w:cs="Times New Roman"/>
                <w:color w:val="000000"/>
                <w:sz w:val="20"/>
                <w:szCs w:val="20"/>
              </w:rPr>
            </w:pP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44C6CB3B">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全年预算数（A）</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33F2E13F">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全年执行数（B）</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6A98D560">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预算执行率（B/A×100%）</w:t>
            </w:r>
          </w:p>
        </w:tc>
      </w:tr>
      <w:tr w14:paraId="226EB4A2">
        <w:tblPrEx>
          <w:tblCellMar>
            <w:top w:w="0" w:type="dxa"/>
            <w:left w:w="108" w:type="dxa"/>
            <w:bottom w:w="0" w:type="dxa"/>
            <w:right w:w="108" w:type="dxa"/>
          </w:tblCellMar>
        </w:tblPrEx>
        <w:trPr>
          <w:trHeight w:val="24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B1BEA9">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1781EE2D">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年度资金总额：</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072E2D76">
            <w:pPr>
              <w:widowControl/>
              <w:spacing w:line="30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kern w:val="0"/>
                <w:sz w:val="20"/>
                <w:szCs w:val="20"/>
                <w:lang w:val="en-US" w:eastAsia="zh-CN" w:bidi="ar"/>
              </w:rPr>
              <w:t>17</w:t>
            </w:r>
            <w:r>
              <w:rPr>
                <w:rFonts w:hint="default" w:ascii="Times New Roman" w:hAnsi="Times New Roman" w:eastAsia="仿宋" w:cs="Times New Roman"/>
                <w:color w:val="000000"/>
                <w:kern w:val="0"/>
                <w:sz w:val="20"/>
                <w:szCs w:val="20"/>
                <w:lang w:bidi="ar"/>
              </w:rPr>
              <w:t>,6</w:t>
            </w:r>
            <w:r>
              <w:rPr>
                <w:rFonts w:hint="default" w:ascii="Times New Roman" w:hAnsi="Times New Roman" w:eastAsia="仿宋" w:cs="Times New Roman"/>
                <w:color w:val="000000"/>
                <w:kern w:val="0"/>
                <w:sz w:val="20"/>
                <w:szCs w:val="20"/>
                <w:lang w:val="en-US" w:eastAsia="zh-CN" w:bidi="ar"/>
              </w:rPr>
              <w:t>09</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1BF0E55B">
            <w:pPr>
              <w:widowControl/>
              <w:spacing w:line="30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6,462.38</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2A6AC263">
            <w:pPr>
              <w:widowControl/>
              <w:spacing w:line="30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36.70%</w:t>
            </w:r>
          </w:p>
        </w:tc>
      </w:tr>
      <w:tr w14:paraId="6DA5BC65">
        <w:tblPrEx>
          <w:tblCellMar>
            <w:top w:w="0" w:type="dxa"/>
            <w:left w:w="108" w:type="dxa"/>
            <w:bottom w:w="0" w:type="dxa"/>
            <w:right w:w="108" w:type="dxa"/>
          </w:tblCellMar>
        </w:tblPrEx>
        <w:trPr>
          <w:trHeight w:val="24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B5B1DC5">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AECECE6">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其中：中央补助</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226FE93B">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val="en-US" w:eastAsia="zh-CN" w:bidi="ar"/>
              </w:rPr>
              <w:t>11</w:t>
            </w:r>
            <w:r>
              <w:rPr>
                <w:rFonts w:hint="default" w:ascii="Times New Roman" w:hAnsi="Times New Roman" w:eastAsia="仿宋" w:cs="Times New Roman"/>
                <w:color w:val="000000"/>
                <w:kern w:val="0"/>
                <w:sz w:val="20"/>
                <w:szCs w:val="20"/>
                <w:lang w:bidi="ar"/>
              </w:rPr>
              <w:t>,</w:t>
            </w:r>
            <w:r>
              <w:rPr>
                <w:rFonts w:hint="default" w:ascii="Times New Roman" w:hAnsi="Times New Roman" w:eastAsia="仿宋" w:cs="Times New Roman"/>
                <w:color w:val="000000"/>
                <w:kern w:val="0"/>
                <w:sz w:val="20"/>
                <w:szCs w:val="20"/>
                <w:lang w:val="en-US" w:eastAsia="zh-CN" w:bidi="ar"/>
              </w:rPr>
              <w:t>88</w:t>
            </w:r>
            <w:r>
              <w:rPr>
                <w:rFonts w:hint="default" w:ascii="Times New Roman" w:hAnsi="Times New Roman" w:eastAsia="仿宋" w:cs="Times New Roman"/>
                <w:color w:val="000000"/>
                <w:kern w:val="0"/>
                <w:sz w:val="20"/>
                <w:szCs w:val="20"/>
                <w:lang w:bidi="ar"/>
              </w:rPr>
              <w:t>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579ADF9F">
            <w:pPr>
              <w:widowControl/>
              <w:spacing w:line="30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3,107.38</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3A483AC7">
            <w:pPr>
              <w:widowControl/>
              <w:spacing w:line="30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26.16%</w:t>
            </w:r>
          </w:p>
        </w:tc>
      </w:tr>
      <w:tr w14:paraId="5475DBBC">
        <w:tblPrEx>
          <w:tblCellMar>
            <w:top w:w="0" w:type="dxa"/>
            <w:left w:w="108" w:type="dxa"/>
            <w:bottom w:w="0" w:type="dxa"/>
            <w:right w:w="108" w:type="dxa"/>
          </w:tblCellMar>
        </w:tblPrEx>
        <w:trPr>
          <w:trHeight w:val="24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38B441E">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4C08A20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地方资金</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182BE347">
            <w:pPr>
              <w:widowControl/>
              <w:spacing w:line="300" w:lineRule="exact"/>
              <w:jc w:val="center"/>
              <w:rPr>
                <w:rFonts w:hint="default" w:ascii="Times New Roman" w:hAnsi="Times New Roman" w:eastAsia="仿宋" w:cs="Times New Roman"/>
                <w:color w:val="000000"/>
                <w:sz w:val="20"/>
                <w:szCs w:val="20"/>
              </w:rPr>
            </w:pP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597261FB">
            <w:pPr>
              <w:widowControl/>
              <w:spacing w:line="300" w:lineRule="exact"/>
              <w:jc w:val="center"/>
              <w:rPr>
                <w:rFonts w:hint="default" w:ascii="Times New Roman" w:hAnsi="Times New Roman" w:eastAsia="仿宋" w:cs="Times New Roman"/>
                <w:color w:val="000000"/>
                <w:sz w:val="20"/>
                <w:szCs w:val="20"/>
              </w:rPr>
            </w:pP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3DFF6400">
            <w:pPr>
              <w:widowControl/>
              <w:spacing w:line="300" w:lineRule="exact"/>
              <w:jc w:val="center"/>
              <w:rPr>
                <w:rFonts w:hint="default" w:ascii="Times New Roman" w:hAnsi="Times New Roman" w:eastAsia="仿宋" w:cs="Times New Roman"/>
                <w:color w:val="000000"/>
                <w:sz w:val="20"/>
                <w:szCs w:val="20"/>
              </w:rPr>
            </w:pPr>
          </w:p>
        </w:tc>
      </w:tr>
      <w:tr w14:paraId="51C1F3ED">
        <w:tblPrEx>
          <w:tblCellMar>
            <w:top w:w="0" w:type="dxa"/>
            <w:left w:w="108" w:type="dxa"/>
            <w:bottom w:w="0" w:type="dxa"/>
            <w:right w:w="108" w:type="dxa"/>
          </w:tblCellMar>
        </w:tblPrEx>
        <w:trPr>
          <w:trHeight w:val="24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286A2C">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4447D77B">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其他资金</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1952E12A">
            <w:pPr>
              <w:widowControl/>
              <w:spacing w:line="300" w:lineRule="exact"/>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kern w:val="0"/>
                <w:sz w:val="20"/>
                <w:szCs w:val="20"/>
                <w:lang w:val="en-US" w:eastAsia="zh-CN" w:bidi="ar"/>
              </w:rPr>
              <w:t>5</w:t>
            </w:r>
            <w:r>
              <w:rPr>
                <w:rFonts w:hint="default" w:ascii="Times New Roman" w:hAnsi="Times New Roman" w:eastAsia="仿宋" w:cs="Times New Roman"/>
                <w:color w:val="000000"/>
                <w:kern w:val="0"/>
                <w:sz w:val="20"/>
                <w:szCs w:val="20"/>
                <w:lang w:bidi="ar"/>
              </w:rPr>
              <w:t>,</w:t>
            </w:r>
            <w:r>
              <w:rPr>
                <w:rFonts w:hint="default" w:ascii="Times New Roman" w:hAnsi="Times New Roman" w:eastAsia="仿宋" w:cs="Times New Roman"/>
                <w:color w:val="000000"/>
                <w:kern w:val="0"/>
                <w:sz w:val="20"/>
                <w:szCs w:val="20"/>
                <w:lang w:val="en-US" w:eastAsia="zh-CN" w:bidi="ar"/>
              </w:rPr>
              <w:t>729</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2E437FF5">
            <w:pPr>
              <w:widowControl/>
              <w:spacing w:line="300" w:lineRule="exact"/>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3,355</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14:paraId="12D94C2E">
            <w:pPr>
              <w:widowControl/>
              <w:spacing w:line="300" w:lineRule="exact"/>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58.56%</w:t>
            </w:r>
          </w:p>
        </w:tc>
      </w:tr>
      <w:tr w14:paraId="61D06555">
        <w:tblPrEx>
          <w:tblCellMar>
            <w:top w:w="0" w:type="dxa"/>
            <w:left w:w="108" w:type="dxa"/>
            <w:bottom w:w="0" w:type="dxa"/>
            <w:right w:w="108" w:type="dxa"/>
          </w:tblCellMar>
        </w:tblPrEx>
        <w:trPr>
          <w:trHeight w:val="240" w:hRule="atLeast"/>
          <w:jc w:val="center"/>
        </w:trPr>
        <w:tc>
          <w:tcPr>
            <w:tcW w:w="247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835884">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1DEA0459">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5D2DF712">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4AB89EAB">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32523CB6">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3BD9F958">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资金管理情况</w:t>
            </w:r>
          </w:p>
          <w:p w14:paraId="70644711">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1F4BACD0">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0F887E52">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65009DEA">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3AF56BE7">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4E4AEC4C">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6B7771E7">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6D3BBBA5">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2E81AB53">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7252A503">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12A58FC2">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p w14:paraId="032B5969">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资金管理情况</w:t>
            </w: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225EAD2C">
            <w:pPr>
              <w:widowControl/>
              <w:spacing w:line="300" w:lineRule="exact"/>
              <w:jc w:val="center"/>
              <w:rPr>
                <w:rFonts w:hint="default" w:ascii="Times New Roman" w:hAnsi="Times New Roman" w:eastAsia="仿宋" w:cs="Times New Roman"/>
                <w:color w:val="000000"/>
                <w:sz w:val="20"/>
                <w:szCs w:val="20"/>
              </w:rPr>
            </w:pP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670A28C6">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情况说明</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4334FE62">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存在问题和改进措施</w:t>
            </w:r>
          </w:p>
        </w:tc>
      </w:tr>
      <w:tr w14:paraId="1882045E">
        <w:tblPrEx>
          <w:tblCellMar>
            <w:top w:w="0" w:type="dxa"/>
            <w:left w:w="108" w:type="dxa"/>
            <w:bottom w:w="0" w:type="dxa"/>
            <w:right w:w="108" w:type="dxa"/>
          </w:tblCellMar>
        </w:tblPrEx>
        <w:trPr>
          <w:trHeight w:val="45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0C0ED3A">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6B493C31">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分配科学性</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59D5ABC6">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严格按照转移支付管理制度以及资金办法规定的范围和标准分配资金。</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7F3F8CA5">
            <w:pPr>
              <w:widowControl/>
              <w:spacing w:line="300" w:lineRule="exact"/>
              <w:jc w:val="center"/>
              <w:rPr>
                <w:rFonts w:hint="default" w:ascii="Times New Roman" w:hAnsi="Times New Roman" w:eastAsia="仿宋" w:cs="Times New Roman"/>
                <w:color w:val="000000"/>
                <w:sz w:val="20"/>
                <w:szCs w:val="20"/>
              </w:rPr>
            </w:pPr>
          </w:p>
        </w:tc>
      </w:tr>
      <w:tr w14:paraId="11CE3566">
        <w:tblPrEx>
          <w:tblCellMar>
            <w:top w:w="0" w:type="dxa"/>
            <w:left w:w="108" w:type="dxa"/>
            <w:bottom w:w="0" w:type="dxa"/>
            <w:right w:w="108" w:type="dxa"/>
          </w:tblCellMar>
        </w:tblPrEx>
        <w:trPr>
          <w:trHeight w:val="104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07024F6">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26243421">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下达及时性</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54C25B46">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严格按照预算法及其实施条例、转移支付管理制度规定以及资金管理办法规定的时限要求分解下达。</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697493AE">
            <w:pPr>
              <w:widowControl/>
              <w:spacing w:line="300" w:lineRule="exact"/>
              <w:jc w:val="center"/>
              <w:rPr>
                <w:rFonts w:hint="default" w:ascii="Times New Roman" w:hAnsi="Times New Roman" w:eastAsia="仿宋" w:cs="Times New Roman"/>
                <w:color w:val="000000"/>
                <w:sz w:val="20"/>
                <w:szCs w:val="20"/>
              </w:rPr>
            </w:pPr>
          </w:p>
        </w:tc>
      </w:tr>
      <w:tr w14:paraId="415B04A3">
        <w:tblPrEx>
          <w:tblCellMar>
            <w:top w:w="0" w:type="dxa"/>
            <w:left w:w="108" w:type="dxa"/>
            <w:bottom w:w="0" w:type="dxa"/>
            <w:right w:w="108" w:type="dxa"/>
          </w:tblCellMar>
        </w:tblPrEx>
        <w:trPr>
          <w:trHeight w:val="1125"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9A29582">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32E9A47">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拨付合规性</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39CF7778">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严格按照国库集中支付制度有关规定支付资金，未出现违规将资金从国库转入财政专户或支付到预算单位实有资金账户等问题。省工业和信息化厅按照项目相关要求分阶段完成资金拨付工作。</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2A72F96F">
            <w:pPr>
              <w:widowControl/>
              <w:spacing w:line="300" w:lineRule="exact"/>
              <w:jc w:val="center"/>
              <w:rPr>
                <w:rFonts w:hint="default" w:ascii="Times New Roman" w:hAnsi="Times New Roman" w:eastAsia="仿宋" w:cs="Times New Roman"/>
                <w:color w:val="000000"/>
                <w:sz w:val="20"/>
                <w:szCs w:val="20"/>
              </w:rPr>
            </w:pPr>
          </w:p>
        </w:tc>
      </w:tr>
      <w:tr w14:paraId="6827377C">
        <w:tblPrEx>
          <w:tblCellMar>
            <w:top w:w="0" w:type="dxa"/>
            <w:left w:w="108" w:type="dxa"/>
            <w:bottom w:w="0" w:type="dxa"/>
            <w:right w:w="108" w:type="dxa"/>
          </w:tblCellMar>
        </w:tblPrEx>
        <w:trPr>
          <w:trHeight w:val="45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FDB9A4B">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417BC68">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使用规范性</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5F85BC43">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严格按照下达预算的科目和项目执行，未出现截留、挤占、挪用或擅自调整等问题。</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0E7F3E11">
            <w:pPr>
              <w:widowControl/>
              <w:spacing w:line="300" w:lineRule="exact"/>
              <w:jc w:val="center"/>
              <w:rPr>
                <w:rFonts w:hint="default" w:ascii="Times New Roman" w:hAnsi="Times New Roman" w:eastAsia="仿宋" w:cs="Times New Roman"/>
                <w:color w:val="000000"/>
                <w:sz w:val="20"/>
                <w:szCs w:val="20"/>
              </w:rPr>
            </w:pPr>
          </w:p>
        </w:tc>
      </w:tr>
      <w:tr w14:paraId="69F4162D">
        <w:tblPrEx>
          <w:tblCellMar>
            <w:top w:w="0" w:type="dxa"/>
            <w:left w:w="108" w:type="dxa"/>
            <w:bottom w:w="0" w:type="dxa"/>
            <w:right w:w="108" w:type="dxa"/>
          </w:tblCellMar>
        </w:tblPrEx>
        <w:trPr>
          <w:trHeight w:val="45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752F4F">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5C1C9847">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执行准确性</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71F49D19">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按照上级下达和本级预算安排的金额执行，不存在执行数值偏离预算数较多的问题。</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7E639DDC">
            <w:pPr>
              <w:widowControl/>
              <w:spacing w:line="300" w:lineRule="exact"/>
              <w:jc w:val="center"/>
              <w:rPr>
                <w:rFonts w:hint="default" w:ascii="Times New Roman" w:hAnsi="Times New Roman" w:eastAsia="仿宋" w:cs="Times New Roman"/>
                <w:color w:val="000000"/>
                <w:sz w:val="20"/>
                <w:szCs w:val="20"/>
              </w:rPr>
            </w:pPr>
          </w:p>
        </w:tc>
      </w:tr>
      <w:tr w14:paraId="5A0B65CB">
        <w:tblPrEx>
          <w:tblCellMar>
            <w:top w:w="0" w:type="dxa"/>
            <w:left w:w="108" w:type="dxa"/>
            <w:bottom w:w="0" w:type="dxa"/>
            <w:right w:w="108" w:type="dxa"/>
          </w:tblCellMar>
        </w:tblPrEx>
        <w:trPr>
          <w:trHeight w:val="675"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22165F5">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68D2096E">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预算绩效管理情况</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7F8F761D">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在细化下达预算时同步下达绩效目标，将有关资金纳入本级预算或对下转移支付绩效管理，开展绩效监控和绩效评价。</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4D32F1AD">
            <w:pPr>
              <w:widowControl/>
              <w:spacing w:line="300" w:lineRule="exact"/>
              <w:jc w:val="center"/>
              <w:rPr>
                <w:rFonts w:hint="default" w:ascii="Times New Roman" w:hAnsi="Times New Roman" w:eastAsia="仿宋" w:cs="Times New Roman"/>
                <w:color w:val="000000"/>
                <w:sz w:val="20"/>
                <w:szCs w:val="20"/>
              </w:rPr>
            </w:pPr>
          </w:p>
        </w:tc>
      </w:tr>
      <w:tr w14:paraId="09979242">
        <w:tblPrEx>
          <w:tblCellMar>
            <w:top w:w="0" w:type="dxa"/>
            <w:left w:w="108" w:type="dxa"/>
            <w:bottom w:w="0" w:type="dxa"/>
            <w:right w:w="108" w:type="dxa"/>
          </w:tblCellMar>
        </w:tblPrEx>
        <w:trPr>
          <w:trHeight w:val="450" w:hRule="atLeast"/>
          <w:jc w:val="center"/>
        </w:trPr>
        <w:tc>
          <w:tcPr>
            <w:tcW w:w="247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EB715B">
            <w:pPr>
              <w:widowControl/>
              <w:spacing w:line="300" w:lineRule="exact"/>
              <w:jc w:val="center"/>
              <w:rPr>
                <w:rFonts w:hint="default" w:ascii="Times New Roman" w:hAnsi="Times New Roman" w:eastAsia="仿宋" w:cs="Times New Roman"/>
                <w:color w:val="000000"/>
                <w:sz w:val="20"/>
                <w:szCs w:val="20"/>
              </w:rPr>
            </w:pPr>
          </w:p>
        </w:tc>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9C8F3E0">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支出责任履行情况</w:t>
            </w:r>
          </w:p>
        </w:tc>
        <w:tc>
          <w:tcPr>
            <w:tcW w:w="3380" w:type="dxa"/>
            <w:gridSpan w:val="2"/>
            <w:tcBorders>
              <w:top w:val="single" w:color="000000" w:sz="4" w:space="0"/>
              <w:left w:val="single" w:color="000000" w:sz="4" w:space="0"/>
              <w:bottom w:val="single" w:color="000000" w:sz="4" w:space="0"/>
              <w:right w:val="single" w:color="000000" w:sz="4" w:space="0"/>
            </w:tcBorders>
            <w:noWrap w:val="0"/>
            <w:vAlign w:val="center"/>
          </w:tcPr>
          <w:p w14:paraId="7247ED32">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能够按照财政事权和支出责任划分有关规定，足额安排资金履行本级支出责任。</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0D7578E1">
            <w:pPr>
              <w:widowControl/>
              <w:spacing w:line="300" w:lineRule="exact"/>
              <w:jc w:val="center"/>
              <w:rPr>
                <w:rFonts w:hint="default" w:ascii="Times New Roman" w:hAnsi="Times New Roman" w:eastAsia="仿宋" w:cs="Times New Roman"/>
                <w:color w:val="000000"/>
                <w:sz w:val="20"/>
                <w:szCs w:val="20"/>
              </w:rPr>
            </w:pPr>
          </w:p>
        </w:tc>
      </w:tr>
      <w:tr w14:paraId="6CD408A1">
        <w:tblPrEx>
          <w:tblCellMar>
            <w:top w:w="0" w:type="dxa"/>
            <w:left w:w="108" w:type="dxa"/>
            <w:bottom w:w="0" w:type="dxa"/>
            <w:right w:w="108" w:type="dxa"/>
          </w:tblCellMar>
        </w:tblPrEx>
        <w:trPr>
          <w:trHeight w:val="24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4CBDC">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年度总体目标</w:t>
            </w:r>
          </w:p>
        </w:tc>
        <w:tc>
          <w:tcPr>
            <w:tcW w:w="7542" w:type="dxa"/>
            <w:gridSpan w:val="6"/>
            <w:tcBorders>
              <w:top w:val="single" w:color="000000" w:sz="4" w:space="0"/>
              <w:left w:val="single" w:color="000000" w:sz="4" w:space="0"/>
              <w:bottom w:val="single" w:color="000000" w:sz="4" w:space="0"/>
              <w:right w:val="single" w:color="000000" w:sz="4" w:space="0"/>
            </w:tcBorders>
            <w:noWrap w:val="0"/>
            <w:vAlign w:val="center"/>
          </w:tcPr>
          <w:p w14:paraId="0EFAE64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总体目标</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72BFC235">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全年实际完成情况</w:t>
            </w:r>
          </w:p>
        </w:tc>
      </w:tr>
      <w:tr w14:paraId="23B5E79A">
        <w:tblPrEx>
          <w:tblCellMar>
            <w:top w:w="0" w:type="dxa"/>
            <w:left w:w="108" w:type="dxa"/>
            <w:bottom w:w="0" w:type="dxa"/>
            <w:right w:w="108" w:type="dxa"/>
          </w:tblCellMar>
        </w:tblPrEx>
        <w:trPr>
          <w:trHeight w:val="1757"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5D55C">
            <w:pPr>
              <w:widowControl/>
              <w:spacing w:line="300" w:lineRule="exact"/>
              <w:jc w:val="center"/>
              <w:rPr>
                <w:rFonts w:hint="default" w:ascii="Times New Roman" w:hAnsi="Times New Roman" w:eastAsia="仿宋" w:cs="Times New Roman"/>
                <w:color w:val="000000"/>
                <w:sz w:val="20"/>
                <w:szCs w:val="20"/>
              </w:rPr>
            </w:pPr>
          </w:p>
        </w:tc>
        <w:tc>
          <w:tcPr>
            <w:tcW w:w="7542" w:type="dxa"/>
            <w:gridSpan w:val="6"/>
            <w:tcBorders>
              <w:top w:val="single" w:color="000000" w:sz="4" w:space="0"/>
              <w:left w:val="single" w:color="000000" w:sz="4" w:space="0"/>
              <w:bottom w:val="single" w:color="000000" w:sz="4" w:space="0"/>
              <w:right w:val="single" w:color="000000" w:sz="4" w:space="0"/>
            </w:tcBorders>
            <w:noWrap w:val="0"/>
            <w:vAlign w:val="center"/>
          </w:tcPr>
          <w:p w14:paraId="2A52B6B5">
            <w:pPr>
              <w:widowControl/>
              <w:numPr>
                <w:ilvl w:val="0"/>
                <w:numId w:val="0"/>
              </w:numPr>
              <w:spacing w:line="300" w:lineRule="exact"/>
              <w:jc w:val="left"/>
              <w:textAlignment w:val="center"/>
              <w:rPr>
                <w:rFonts w:hint="default"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lang w:val="en-US" w:eastAsia="zh-CN"/>
              </w:rPr>
              <w:t>1.</w:t>
            </w:r>
            <w:r>
              <w:rPr>
                <w:rFonts w:hint="default" w:ascii="Times New Roman" w:hAnsi="Times New Roman" w:eastAsia="仿宋" w:cs="Times New Roman"/>
                <w:color w:val="000000"/>
                <w:sz w:val="20"/>
                <w:szCs w:val="20"/>
              </w:rPr>
              <w:t>支持提升农村地区“薄弱环节”的公共充换电服务保障能力，激发试点县及周边地区新能源汽车消费潜力；</w:t>
            </w:r>
          </w:p>
          <w:p w14:paraId="020A7A18">
            <w:pPr>
              <w:widowControl/>
              <w:numPr>
                <w:ilvl w:val="0"/>
                <w:numId w:val="0"/>
              </w:numPr>
              <w:spacing w:line="300" w:lineRule="exact"/>
              <w:jc w:val="left"/>
              <w:textAlignment w:val="center"/>
              <w:rPr>
                <w:rFonts w:hint="default"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lang w:val="en-US" w:eastAsia="zh-CN"/>
              </w:rPr>
              <w:t>2.</w:t>
            </w:r>
            <w:r>
              <w:rPr>
                <w:rFonts w:hint="default" w:ascii="Times New Roman" w:hAnsi="Times New Roman" w:eastAsia="仿宋" w:cs="Times New Roman"/>
                <w:color w:val="000000"/>
                <w:sz w:val="20"/>
                <w:szCs w:val="20"/>
              </w:rPr>
              <w:t>培育符合试点县及周边地区新能源汽车发展特点的充换电应用场景，完善提升县级邮政快递网点、农村物流节点、农村客货运场站、3A级及以下旅游景区、农村公路沿线、交通综合服务站等适宜新能源汽车充电场景的服务保障能力；</w:t>
            </w:r>
          </w:p>
          <w:p w14:paraId="7D66B2AA">
            <w:pPr>
              <w:widowControl/>
              <w:numPr>
                <w:ilvl w:val="0"/>
                <w:numId w:val="0"/>
              </w:numPr>
              <w:spacing w:line="300" w:lineRule="exact"/>
              <w:jc w:val="left"/>
              <w:textAlignment w:val="center"/>
              <w:rPr>
                <w:rFonts w:hint="default"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lang w:val="en-US" w:eastAsia="zh-CN"/>
              </w:rPr>
              <w:t>3.</w:t>
            </w:r>
            <w:r>
              <w:rPr>
                <w:rFonts w:hint="default" w:ascii="Times New Roman" w:hAnsi="Times New Roman" w:eastAsia="仿宋" w:cs="Times New Roman"/>
                <w:color w:val="000000"/>
                <w:sz w:val="20"/>
                <w:szCs w:val="20"/>
              </w:rPr>
              <w:t>培育新技术新模式在农村地区的推广应用。</w:t>
            </w:r>
          </w:p>
        </w:tc>
        <w:tc>
          <w:tcPr>
            <w:tcW w:w="7280" w:type="dxa"/>
            <w:gridSpan w:val="2"/>
            <w:tcBorders>
              <w:top w:val="single" w:color="000000" w:sz="4" w:space="0"/>
              <w:left w:val="single" w:color="000000" w:sz="4" w:space="0"/>
              <w:bottom w:val="single" w:color="000000" w:sz="4" w:space="0"/>
              <w:right w:val="single" w:color="000000" w:sz="4" w:space="0"/>
            </w:tcBorders>
            <w:noWrap w:val="0"/>
            <w:vAlign w:val="center"/>
          </w:tcPr>
          <w:p w14:paraId="6C22D0DD">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在县域充换电设施补短板试点县预拨奖励资金的精准资金投入下，通过试点建设，2025年临澧安乡联合试点县建成并投入运营标准桩325台，慈利桑植联合试点县建成并投入运营标准桩21台，平江试点县建成并投入运营标准桩122台，填补农村地区公共充换电服务空白，显著提升了农村地区“薄弱环节”的公共充换电服务保障能力，试点县及周边地区新能源汽车消费潜力被充分激发，为新能源汽车推广打下坚实基础。</w:t>
            </w:r>
          </w:p>
        </w:tc>
      </w:tr>
      <w:tr w14:paraId="78140E32">
        <w:tblPrEx>
          <w:tblCellMar>
            <w:top w:w="0" w:type="dxa"/>
            <w:left w:w="108" w:type="dxa"/>
            <w:bottom w:w="0" w:type="dxa"/>
            <w:right w:w="108" w:type="dxa"/>
          </w:tblCellMar>
        </w:tblPrEx>
        <w:trPr>
          <w:trHeight w:val="480" w:hRule="atLeast"/>
          <w:jc w:val="center"/>
        </w:trPr>
        <w:tc>
          <w:tcPr>
            <w:tcW w:w="768" w:type="dxa"/>
            <w:vMerge w:val="restart"/>
            <w:tcBorders>
              <w:top w:val="single" w:color="auto" w:sz="4" w:space="0"/>
              <w:left w:val="single" w:color="auto" w:sz="4" w:space="0"/>
              <w:bottom w:val="single" w:color="auto" w:sz="4" w:space="0"/>
              <w:right w:val="single" w:color="auto" w:sz="4" w:space="0"/>
            </w:tcBorders>
            <w:noWrap w:val="0"/>
            <w:vAlign w:val="center"/>
          </w:tcPr>
          <w:p w14:paraId="2809347B">
            <w:pPr>
              <w:widowControl/>
              <w:spacing w:line="300" w:lineRule="exact"/>
              <w:jc w:val="center"/>
              <w:rPr>
                <w:rFonts w:hint="default" w:ascii="Times New Roman" w:hAnsi="Times New Roman" w:eastAsia="仿宋" w:cs="Times New Roman"/>
                <w:color w:val="000000"/>
                <w:kern w:val="0"/>
                <w:sz w:val="20"/>
                <w:szCs w:val="20"/>
                <w:lang w:bidi="ar"/>
              </w:rPr>
            </w:pPr>
          </w:p>
          <w:p w14:paraId="2FDCA9CE">
            <w:pPr>
              <w:widowControl/>
              <w:spacing w:line="300" w:lineRule="exact"/>
              <w:jc w:val="center"/>
              <w:rPr>
                <w:rFonts w:hint="default" w:ascii="Times New Roman" w:hAnsi="Times New Roman" w:eastAsia="仿宋" w:cs="Times New Roman"/>
                <w:color w:val="000000"/>
                <w:kern w:val="0"/>
                <w:sz w:val="20"/>
                <w:szCs w:val="20"/>
                <w:lang w:bidi="ar"/>
              </w:rPr>
            </w:pPr>
          </w:p>
          <w:p w14:paraId="0C77C939">
            <w:pPr>
              <w:widowControl/>
              <w:spacing w:line="300" w:lineRule="exact"/>
              <w:jc w:val="center"/>
              <w:rPr>
                <w:rFonts w:hint="default" w:ascii="Times New Roman" w:hAnsi="Times New Roman" w:eastAsia="仿宋" w:cs="Times New Roman"/>
                <w:color w:val="000000"/>
                <w:kern w:val="0"/>
                <w:sz w:val="20"/>
                <w:szCs w:val="20"/>
                <w:lang w:bidi="ar"/>
              </w:rPr>
            </w:pPr>
          </w:p>
          <w:p w14:paraId="13F92DA4">
            <w:pPr>
              <w:widowControl/>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绩效指标</w:t>
            </w:r>
          </w:p>
          <w:p w14:paraId="13C1B481">
            <w:pPr>
              <w:widowControl/>
              <w:spacing w:line="300" w:lineRule="exact"/>
              <w:jc w:val="center"/>
              <w:rPr>
                <w:rFonts w:hint="default" w:ascii="Times New Roman" w:hAnsi="Times New Roman" w:eastAsia="仿宋" w:cs="Times New Roman"/>
                <w:color w:val="000000"/>
                <w:kern w:val="0"/>
                <w:sz w:val="20"/>
                <w:szCs w:val="20"/>
                <w:lang w:bidi="ar"/>
              </w:rPr>
            </w:pPr>
          </w:p>
          <w:p w14:paraId="770162A0">
            <w:pPr>
              <w:widowControl/>
              <w:spacing w:line="300" w:lineRule="exact"/>
              <w:jc w:val="center"/>
              <w:rPr>
                <w:rFonts w:hint="default" w:ascii="Times New Roman" w:hAnsi="Times New Roman" w:eastAsia="仿宋" w:cs="Times New Roman"/>
                <w:color w:val="000000"/>
                <w:kern w:val="0"/>
                <w:sz w:val="20"/>
                <w:szCs w:val="20"/>
                <w:lang w:bidi="ar"/>
              </w:rPr>
            </w:pPr>
          </w:p>
          <w:p w14:paraId="300BB465">
            <w:pPr>
              <w:widowControl/>
              <w:spacing w:line="300" w:lineRule="exact"/>
              <w:jc w:val="center"/>
              <w:rPr>
                <w:rFonts w:hint="default" w:ascii="Times New Roman" w:hAnsi="Times New Roman" w:eastAsia="仿宋" w:cs="Times New Roman"/>
                <w:color w:val="000000"/>
                <w:kern w:val="0"/>
                <w:sz w:val="20"/>
                <w:szCs w:val="20"/>
                <w:lang w:bidi="ar"/>
              </w:rPr>
            </w:pPr>
          </w:p>
          <w:p w14:paraId="5A72D97D">
            <w:pPr>
              <w:widowControl/>
              <w:spacing w:line="300" w:lineRule="exact"/>
              <w:jc w:val="center"/>
              <w:rPr>
                <w:rFonts w:hint="default" w:ascii="Times New Roman" w:hAnsi="Times New Roman" w:eastAsia="仿宋" w:cs="Times New Roman"/>
                <w:color w:val="000000"/>
                <w:kern w:val="0"/>
                <w:sz w:val="20"/>
                <w:szCs w:val="20"/>
                <w:lang w:bidi="ar"/>
              </w:rPr>
            </w:pPr>
          </w:p>
          <w:p w14:paraId="3FF964CC">
            <w:pPr>
              <w:widowControl/>
              <w:spacing w:line="300" w:lineRule="exact"/>
              <w:jc w:val="center"/>
              <w:rPr>
                <w:rFonts w:hint="default" w:ascii="Times New Roman" w:hAnsi="Times New Roman" w:eastAsia="仿宋" w:cs="Times New Roman"/>
                <w:color w:val="000000"/>
                <w:kern w:val="0"/>
                <w:sz w:val="20"/>
                <w:szCs w:val="20"/>
                <w:lang w:bidi="ar"/>
              </w:rPr>
            </w:pPr>
          </w:p>
          <w:p w14:paraId="2EC3B1A2">
            <w:pPr>
              <w:widowControl/>
              <w:spacing w:line="300" w:lineRule="exact"/>
              <w:jc w:val="center"/>
              <w:rPr>
                <w:rFonts w:hint="default" w:ascii="Times New Roman" w:hAnsi="Times New Roman" w:eastAsia="仿宋" w:cs="Times New Roman"/>
                <w:color w:val="000000"/>
                <w:kern w:val="0"/>
                <w:sz w:val="20"/>
                <w:szCs w:val="20"/>
                <w:lang w:bidi="ar"/>
              </w:rPr>
            </w:pPr>
          </w:p>
          <w:p w14:paraId="15628D06">
            <w:pPr>
              <w:widowControl/>
              <w:spacing w:line="300" w:lineRule="exact"/>
              <w:jc w:val="center"/>
              <w:rPr>
                <w:rFonts w:hint="default" w:ascii="Times New Roman" w:hAnsi="Times New Roman" w:eastAsia="仿宋" w:cs="Times New Roman"/>
                <w:color w:val="000000"/>
                <w:kern w:val="0"/>
                <w:sz w:val="20"/>
                <w:szCs w:val="20"/>
                <w:lang w:bidi="ar"/>
              </w:rPr>
            </w:pPr>
          </w:p>
          <w:p w14:paraId="5EA0B459">
            <w:pPr>
              <w:widowControl/>
              <w:spacing w:line="300" w:lineRule="exact"/>
              <w:jc w:val="center"/>
              <w:rPr>
                <w:rFonts w:hint="default" w:ascii="Times New Roman" w:hAnsi="Times New Roman" w:eastAsia="仿宋" w:cs="Times New Roman"/>
                <w:color w:val="000000"/>
                <w:kern w:val="0"/>
                <w:sz w:val="20"/>
                <w:szCs w:val="20"/>
                <w:lang w:bidi="ar"/>
              </w:rPr>
            </w:pPr>
          </w:p>
          <w:p w14:paraId="62264D34">
            <w:pPr>
              <w:widowControl/>
              <w:spacing w:line="300" w:lineRule="exact"/>
              <w:jc w:val="center"/>
              <w:rPr>
                <w:rFonts w:hint="default" w:ascii="Times New Roman" w:hAnsi="Times New Roman" w:eastAsia="仿宋" w:cs="Times New Roman"/>
                <w:color w:val="000000"/>
                <w:kern w:val="0"/>
                <w:sz w:val="20"/>
                <w:szCs w:val="20"/>
                <w:lang w:bidi="ar"/>
              </w:rPr>
            </w:pPr>
          </w:p>
          <w:p w14:paraId="02B18527">
            <w:pPr>
              <w:widowControl/>
              <w:spacing w:line="300" w:lineRule="exact"/>
              <w:jc w:val="center"/>
              <w:rPr>
                <w:rFonts w:hint="default" w:ascii="Times New Roman" w:hAnsi="Times New Roman" w:eastAsia="仿宋" w:cs="Times New Roman"/>
                <w:color w:val="000000"/>
                <w:kern w:val="0"/>
                <w:sz w:val="20"/>
                <w:szCs w:val="20"/>
                <w:lang w:bidi="ar"/>
              </w:rPr>
            </w:pPr>
          </w:p>
          <w:p w14:paraId="71B3A5B2">
            <w:pPr>
              <w:widowControl/>
              <w:spacing w:line="300" w:lineRule="exact"/>
              <w:jc w:val="center"/>
              <w:rPr>
                <w:rFonts w:hint="default" w:ascii="Times New Roman" w:hAnsi="Times New Roman" w:eastAsia="仿宋" w:cs="Times New Roman"/>
                <w:color w:val="000000"/>
                <w:kern w:val="0"/>
                <w:sz w:val="20"/>
                <w:szCs w:val="20"/>
                <w:lang w:bidi="ar"/>
              </w:rPr>
            </w:pPr>
          </w:p>
          <w:p w14:paraId="7E9C65E9">
            <w:pPr>
              <w:widowControl/>
              <w:spacing w:line="300" w:lineRule="exact"/>
              <w:jc w:val="center"/>
              <w:rPr>
                <w:rFonts w:hint="default" w:ascii="Times New Roman" w:hAnsi="Times New Roman" w:eastAsia="仿宋" w:cs="Times New Roman"/>
                <w:color w:val="000000"/>
                <w:kern w:val="0"/>
                <w:sz w:val="20"/>
                <w:szCs w:val="20"/>
                <w:lang w:bidi="ar"/>
              </w:rPr>
            </w:pPr>
          </w:p>
          <w:p w14:paraId="3C3C5D7F">
            <w:pPr>
              <w:widowControl/>
              <w:spacing w:line="300" w:lineRule="exact"/>
              <w:jc w:val="center"/>
              <w:rPr>
                <w:rFonts w:hint="default" w:ascii="Times New Roman" w:hAnsi="Times New Roman" w:eastAsia="仿宋" w:cs="Times New Roman"/>
                <w:color w:val="000000"/>
                <w:kern w:val="0"/>
                <w:sz w:val="20"/>
                <w:szCs w:val="20"/>
                <w:lang w:bidi="ar"/>
              </w:rPr>
            </w:pPr>
          </w:p>
          <w:p w14:paraId="20639D44">
            <w:pPr>
              <w:widowControl/>
              <w:spacing w:line="300" w:lineRule="exact"/>
              <w:jc w:val="center"/>
              <w:rPr>
                <w:rFonts w:hint="default" w:ascii="Times New Roman" w:hAnsi="Times New Roman" w:eastAsia="仿宋" w:cs="Times New Roman"/>
                <w:color w:val="000000"/>
                <w:kern w:val="0"/>
                <w:sz w:val="20"/>
                <w:szCs w:val="20"/>
                <w:lang w:bidi="ar"/>
              </w:rPr>
            </w:pPr>
          </w:p>
          <w:p w14:paraId="349E25A1">
            <w:pPr>
              <w:widowControl/>
              <w:spacing w:line="300" w:lineRule="exact"/>
              <w:jc w:val="center"/>
              <w:rPr>
                <w:rFonts w:hint="default" w:ascii="Times New Roman" w:hAnsi="Times New Roman" w:eastAsia="仿宋" w:cs="Times New Roman"/>
                <w:color w:val="000000"/>
                <w:kern w:val="0"/>
                <w:sz w:val="20"/>
                <w:szCs w:val="20"/>
                <w:lang w:bidi="ar"/>
              </w:rPr>
            </w:pPr>
          </w:p>
          <w:p w14:paraId="41C4403C">
            <w:pPr>
              <w:widowControl/>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绩效指标</w:t>
            </w:r>
          </w:p>
          <w:p w14:paraId="135C5AC0">
            <w:pPr>
              <w:widowControl/>
              <w:spacing w:line="300" w:lineRule="exact"/>
              <w:jc w:val="center"/>
              <w:rPr>
                <w:rFonts w:hint="default" w:ascii="Times New Roman" w:hAnsi="Times New Roman" w:eastAsia="仿宋" w:cs="Times New Roman"/>
                <w:color w:val="000000"/>
                <w:kern w:val="0"/>
                <w:sz w:val="20"/>
                <w:szCs w:val="20"/>
                <w:lang w:bidi="ar"/>
              </w:rPr>
            </w:pPr>
          </w:p>
          <w:p w14:paraId="3258F6D6">
            <w:pPr>
              <w:widowControl/>
              <w:spacing w:line="300" w:lineRule="exact"/>
              <w:jc w:val="center"/>
              <w:rPr>
                <w:rFonts w:hint="default" w:ascii="Times New Roman" w:hAnsi="Times New Roman" w:eastAsia="仿宋" w:cs="Times New Roman"/>
                <w:color w:val="000000"/>
                <w:kern w:val="0"/>
                <w:sz w:val="20"/>
                <w:szCs w:val="20"/>
                <w:lang w:bidi="ar"/>
              </w:rPr>
            </w:pPr>
          </w:p>
          <w:p w14:paraId="27D65ADD">
            <w:pPr>
              <w:widowControl/>
              <w:spacing w:line="300" w:lineRule="exact"/>
              <w:jc w:val="center"/>
              <w:rPr>
                <w:rFonts w:hint="default" w:ascii="Times New Roman" w:hAnsi="Times New Roman" w:eastAsia="仿宋" w:cs="Times New Roman"/>
                <w:color w:val="000000"/>
                <w:kern w:val="0"/>
                <w:sz w:val="20"/>
                <w:szCs w:val="20"/>
                <w:lang w:bidi="ar"/>
              </w:rPr>
            </w:pPr>
          </w:p>
          <w:p w14:paraId="0988C5BC">
            <w:pPr>
              <w:widowControl/>
              <w:spacing w:line="300" w:lineRule="exact"/>
              <w:jc w:val="center"/>
              <w:rPr>
                <w:rFonts w:hint="default" w:ascii="Times New Roman" w:hAnsi="Times New Roman" w:eastAsia="仿宋" w:cs="Times New Roman"/>
                <w:color w:val="000000"/>
                <w:kern w:val="0"/>
                <w:sz w:val="20"/>
                <w:szCs w:val="20"/>
                <w:lang w:bidi="ar"/>
              </w:rPr>
            </w:pPr>
          </w:p>
          <w:p w14:paraId="78C280AB">
            <w:pPr>
              <w:widowControl/>
              <w:spacing w:line="300" w:lineRule="exact"/>
              <w:jc w:val="center"/>
              <w:rPr>
                <w:rFonts w:hint="default" w:ascii="Times New Roman" w:hAnsi="Times New Roman" w:eastAsia="仿宋" w:cs="Times New Roman"/>
                <w:color w:val="000000"/>
                <w:kern w:val="0"/>
                <w:sz w:val="20"/>
                <w:szCs w:val="20"/>
                <w:lang w:bidi="ar"/>
              </w:rPr>
            </w:pPr>
          </w:p>
          <w:p w14:paraId="67C9CC09">
            <w:pPr>
              <w:widowControl/>
              <w:spacing w:line="300" w:lineRule="exact"/>
              <w:jc w:val="center"/>
              <w:rPr>
                <w:rFonts w:hint="default" w:ascii="Times New Roman" w:hAnsi="Times New Roman" w:eastAsia="仿宋" w:cs="Times New Roman"/>
                <w:color w:val="000000"/>
                <w:kern w:val="0"/>
                <w:sz w:val="20"/>
                <w:szCs w:val="20"/>
                <w:lang w:bidi="ar"/>
              </w:rPr>
            </w:pPr>
          </w:p>
          <w:p w14:paraId="12CF8949">
            <w:pPr>
              <w:widowControl/>
              <w:spacing w:line="300" w:lineRule="exact"/>
              <w:jc w:val="center"/>
              <w:rPr>
                <w:rFonts w:hint="default" w:ascii="Times New Roman" w:hAnsi="Times New Roman" w:eastAsia="仿宋" w:cs="Times New Roman"/>
                <w:color w:val="000000"/>
                <w:kern w:val="0"/>
                <w:sz w:val="20"/>
                <w:szCs w:val="20"/>
                <w:lang w:bidi="ar"/>
              </w:rPr>
            </w:pPr>
          </w:p>
          <w:p w14:paraId="75E12F86">
            <w:pPr>
              <w:widowControl/>
              <w:spacing w:line="300" w:lineRule="exact"/>
              <w:jc w:val="center"/>
              <w:rPr>
                <w:rFonts w:hint="default" w:ascii="Times New Roman" w:hAnsi="Times New Roman" w:eastAsia="仿宋" w:cs="Times New Roman"/>
                <w:color w:val="000000"/>
                <w:kern w:val="0"/>
                <w:sz w:val="20"/>
                <w:szCs w:val="20"/>
                <w:lang w:bidi="ar"/>
              </w:rPr>
            </w:pPr>
          </w:p>
          <w:p w14:paraId="13C5C590">
            <w:pPr>
              <w:widowControl/>
              <w:spacing w:line="300" w:lineRule="exact"/>
              <w:jc w:val="center"/>
              <w:rPr>
                <w:rFonts w:hint="default" w:ascii="Times New Roman" w:hAnsi="Times New Roman" w:eastAsia="仿宋" w:cs="Times New Roman"/>
                <w:color w:val="000000"/>
                <w:kern w:val="0"/>
                <w:sz w:val="20"/>
                <w:szCs w:val="20"/>
                <w:lang w:bidi="ar"/>
              </w:rPr>
            </w:pPr>
          </w:p>
          <w:p w14:paraId="75A015BE">
            <w:pPr>
              <w:widowControl/>
              <w:spacing w:line="300" w:lineRule="exact"/>
              <w:jc w:val="center"/>
              <w:rPr>
                <w:rFonts w:hint="default" w:ascii="Times New Roman" w:hAnsi="Times New Roman" w:eastAsia="仿宋" w:cs="Times New Roman"/>
                <w:color w:val="000000"/>
                <w:kern w:val="0"/>
                <w:sz w:val="20"/>
                <w:szCs w:val="20"/>
                <w:lang w:bidi="ar"/>
              </w:rPr>
            </w:pPr>
          </w:p>
          <w:p w14:paraId="00BC8EDF">
            <w:pPr>
              <w:widowControl/>
              <w:spacing w:line="300" w:lineRule="exact"/>
              <w:jc w:val="center"/>
              <w:rPr>
                <w:rFonts w:hint="default" w:ascii="Times New Roman" w:hAnsi="Times New Roman" w:eastAsia="仿宋" w:cs="Times New Roman"/>
                <w:color w:val="000000"/>
                <w:kern w:val="0"/>
                <w:sz w:val="20"/>
                <w:szCs w:val="20"/>
                <w:lang w:bidi="ar"/>
              </w:rPr>
            </w:pPr>
          </w:p>
          <w:p w14:paraId="15B8C7BD">
            <w:pPr>
              <w:widowControl/>
              <w:spacing w:line="300" w:lineRule="exact"/>
              <w:jc w:val="center"/>
              <w:rPr>
                <w:rFonts w:hint="default" w:ascii="Times New Roman" w:hAnsi="Times New Roman" w:eastAsia="仿宋" w:cs="Times New Roman"/>
                <w:color w:val="000000"/>
                <w:kern w:val="0"/>
                <w:sz w:val="20"/>
                <w:szCs w:val="20"/>
                <w:lang w:bidi="ar"/>
              </w:rPr>
            </w:pPr>
          </w:p>
          <w:p w14:paraId="4944DB27">
            <w:pPr>
              <w:widowControl/>
              <w:spacing w:line="300" w:lineRule="exact"/>
              <w:jc w:val="center"/>
              <w:rPr>
                <w:rFonts w:hint="default" w:ascii="Times New Roman" w:hAnsi="Times New Roman" w:eastAsia="仿宋" w:cs="Times New Roman"/>
                <w:color w:val="000000"/>
                <w:kern w:val="0"/>
                <w:sz w:val="20"/>
                <w:szCs w:val="20"/>
                <w:lang w:bidi="ar"/>
              </w:rPr>
            </w:pPr>
          </w:p>
          <w:p w14:paraId="1B1A0358">
            <w:pPr>
              <w:widowControl/>
              <w:spacing w:line="300" w:lineRule="exact"/>
              <w:jc w:val="center"/>
              <w:rPr>
                <w:rFonts w:hint="default" w:ascii="Times New Roman" w:hAnsi="Times New Roman" w:eastAsia="仿宋" w:cs="Times New Roman"/>
                <w:color w:val="000000"/>
                <w:kern w:val="0"/>
                <w:sz w:val="20"/>
                <w:szCs w:val="20"/>
                <w:lang w:bidi="ar"/>
              </w:rPr>
            </w:pPr>
          </w:p>
          <w:p w14:paraId="37CC2B37">
            <w:pPr>
              <w:widowControl/>
              <w:spacing w:line="300" w:lineRule="exact"/>
              <w:jc w:val="center"/>
              <w:rPr>
                <w:rFonts w:hint="default" w:ascii="Times New Roman" w:hAnsi="Times New Roman" w:eastAsia="仿宋" w:cs="Times New Roman"/>
                <w:color w:val="000000"/>
                <w:kern w:val="0"/>
                <w:sz w:val="20"/>
                <w:szCs w:val="20"/>
                <w:lang w:bidi="ar"/>
              </w:rPr>
            </w:pPr>
          </w:p>
          <w:p w14:paraId="640D2DED">
            <w:pPr>
              <w:widowControl/>
              <w:spacing w:line="300" w:lineRule="exact"/>
              <w:jc w:val="center"/>
              <w:rPr>
                <w:rFonts w:hint="default" w:ascii="Times New Roman" w:hAnsi="Times New Roman" w:eastAsia="仿宋" w:cs="Times New Roman"/>
                <w:color w:val="000000"/>
                <w:kern w:val="0"/>
                <w:sz w:val="20"/>
                <w:szCs w:val="20"/>
                <w:lang w:bidi="ar"/>
              </w:rPr>
            </w:pPr>
          </w:p>
          <w:p w14:paraId="35BC87E2">
            <w:pPr>
              <w:widowControl/>
              <w:spacing w:line="300" w:lineRule="exact"/>
              <w:jc w:val="center"/>
              <w:rPr>
                <w:rFonts w:hint="default" w:ascii="Times New Roman" w:hAnsi="Times New Roman" w:eastAsia="仿宋" w:cs="Times New Roman"/>
                <w:color w:val="000000"/>
                <w:kern w:val="0"/>
                <w:sz w:val="20"/>
                <w:szCs w:val="20"/>
                <w:lang w:bidi="ar"/>
              </w:rPr>
            </w:pPr>
          </w:p>
          <w:p w14:paraId="1378B148">
            <w:pPr>
              <w:widowControl/>
              <w:spacing w:line="300" w:lineRule="exact"/>
              <w:jc w:val="center"/>
              <w:rPr>
                <w:rFonts w:hint="default" w:ascii="Times New Roman" w:hAnsi="Times New Roman" w:eastAsia="仿宋" w:cs="Times New Roman"/>
                <w:color w:val="000000"/>
                <w:kern w:val="0"/>
                <w:sz w:val="20"/>
                <w:szCs w:val="20"/>
                <w:lang w:bidi="ar"/>
              </w:rPr>
            </w:pPr>
          </w:p>
          <w:p w14:paraId="34BF24BC">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绩效指标</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AF92A34">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一级指标</w:t>
            </w:r>
          </w:p>
        </w:tc>
        <w:tc>
          <w:tcPr>
            <w:tcW w:w="1227" w:type="dxa"/>
            <w:gridSpan w:val="2"/>
            <w:tcBorders>
              <w:top w:val="single" w:color="000000" w:sz="4" w:space="0"/>
              <w:left w:val="single" w:color="auto" w:sz="4" w:space="0"/>
              <w:bottom w:val="single" w:color="000000" w:sz="4" w:space="0"/>
              <w:right w:val="single" w:color="000000" w:sz="4" w:space="0"/>
            </w:tcBorders>
            <w:noWrap w:val="0"/>
            <w:vAlign w:val="center"/>
          </w:tcPr>
          <w:p w14:paraId="05938A55">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二级指标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5837F3D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三级指标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A31AC8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年度指标值</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4868D87C">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全年完成值</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3F7BC8B2">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未完成原因和改进措施</w:t>
            </w:r>
          </w:p>
        </w:tc>
      </w:tr>
      <w:tr w14:paraId="24B6246E">
        <w:tblPrEx>
          <w:tblCellMar>
            <w:top w:w="0" w:type="dxa"/>
            <w:left w:w="108" w:type="dxa"/>
            <w:bottom w:w="0" w:type="dxa"/>
            <w:right w:w="108" w:type="dxa"/>
          </w:tblCellMar>
        </w:tblPrEx>
        <w:trPr>
          <w:trHeight w:val="720"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93DD753">
            <w:pPr>
              <w:widowControl/>
              <w:spacing w:line="300" w:lineRule="exact"/>
              <w:jc w:val="center"/>
              <w:rPr>
                <w:rFonts w:hint="default" w:ascii="Times New Roman" w:hAnsi="Times New Roman" w:eastAsia="仿宋" w:cs="Times New Roman"/>
                <w:color w:val="000000"/>
                <w:sz w:val="20"/>
                <w:szCs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AF66616">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成本指标</w:t>
            </w:r>
          </w:p>
        </w:tc>
        <w:tc>
          <w:tcPr>
            <w:tcW w:w="1227" w:type="dxa"/>
            <w:gridSpan w:val="2"/>
            <w:tcBorders>
              <w:top w:val="single" w:color="000000" w:sz="4" w:space="0"/>
              <w:left w:val="single" w:color="auto" w:sz="4" w:space="0"/>
              <w:bottom w:val="single" w:color="000000" w:sz="4" w:space="0"/>
              <w:right w:val="single" w:color="000000" w:sz="4" w:space="0"/>
            </w:tcBorders>
            <w:noWrap w:val="0"/>
            <w:vAlign w:val="center"/>
          </w:tcPr>
          <w:p w14:paraId="5DDD63B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经济成本指标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3172F988">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项目投资成本</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79EA116">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≤19229万元</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4E8B1C2E">
            <w:pPr>
              <w:widowControl/>
              <w:spacing w:line="30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6,462.38</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0F080699">
            <w:pPr>
              <w:widowControl/>
              <w:spacing w:line="300" w:lineRule="exact"/>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项目建设进度滞后，后期严格依据相关规定加强对中央奖励资金的使用监管，加快2026年度项目任务的建设与验收进度，提高财政资金的执行效率。</w:t>
            </w:r>
          </w:p>
        </w:tc>
      </w:tr>
      <w:tr w14:paraId="0D39D6BC">
        <w:tblPrEx>
          <w:tblCellMar>
            <w:top w:w="0" w:type="dxa"/>
            <w:left w:w="108" w:type="dxa"/>
            <w:bottom w:w="0" w:type="dxa"/>
            <w:right w:w="108" w:type="dxa"/>
          </w:tblCellMar>
        </w:tblPrEx>
        <w:trPr>
          <w:trHeight w:val="720"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AD53620">
            <w:pPr>
              <w:widowControl/>
              <w:spacing w:line="300" w:lineRule="exact"/>
              <w:jc w:val="center"/>
              <w:rPr>
                <w:rFonts w:hint="default" w:ascii="Times New Roman" w:hAnsi="Times New Roman" w:eastAsia="仿宋" w:cs="Times New Roman"/>
                <w:color w:val="000000"/>
                <w:sz w:val="20"/>
                <w:szCs w:val="20"/>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85D53B5">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tc>
        <w:tc>
          <w:tcPr>
            <w:tcW w:w="1227" w:type="dxa"/>
            <w:gridSpan w:val="2"/>
            <w:tcBorders>
              <w:top w:val="single" w:color="000000" w:sz="4" w:space="0"/>
              <w:left w:val="single" w:color="auto" w:sz="4" w:space="0"/>
              <w:bottom w:val="single" w:color="000000" w:sz="4" w:space="0"/>
              <w:right w:val="single" w:color="000000" w:sz="4" w:space="0"/>
            </w:tcBorders>
            <w:noWrap w:val="0"/>
            <w:vAlign w:val="center"/>
          </w:tcPr>
          <w:p w14:paraId="536769C6">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数量指标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211EF87E">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第一档地区年度功率利用率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5C14A49">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≥5.0%（2025年）</w:t>
            </w:r>
          </w:p>
          <w:p w14:paraId="11CFED32">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≥5.5%（2026年）</w:t>
            </w:r>
          </w:p>
          <w:p w14:paraId="2D7F1886">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≥6.0%（2027年）</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37FDDC7E">
            <w:pPr>
              <w:widowControl/>
              <w:spacing w:line="300" w:lineRule="exact"/>
              <w:jc w:val="center"/>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 w:cs="Times New Roman"/>
                <w:color w:val="000000"/>
                <w:kern w:val="0"/>
                <w:sz w:val="20"/>
                <w:szCs w:val="20"/>
                <w:lang w:val="en-US" w:eastAsia="zh-CN" w:bidi="ar"/>
              </w:rPr>
              <w:t>临澧安乡联合试点县：5.11%</w:t>
            </w:r>
          </w:p>
          <w:p w14:paraId="0D9D2D1D">
            <w:pPr>
              <w:widowControl/>
              <w:spacing w:line="300" w:lineRule="exact"/>
              <w:jc w:val="center"/>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 w:cs="Times New Roman"/>
                <w:color w:val="000000"/>
                <w:kern w:val="0"/>
                <w:sz w:val="20"/>
                <w:szCs w:val="20"/>
                <w:lang w:val="en-US" w:eastAsia="zh-CN" w:bidi="ar"/>
              </w:rPr>
              <w:t>慈利桑植联合试点县：8.19%</w:t>
            </w:r>
          </w:p>
          <w:p w14:paraId="0AB60FDB">
            <w:pPr>
              <w:widowControl/>
              <w:spacing w:line="300" w:lineRule="exact"/>
              <w:jc w:val="center"/>
              <w:textAlignment w:val="center"/>
              <w:rPr>
                <w:rFonts w:hint="default" w:ascii="Times New Roman" w:hAnsi="Times New Roman" w:cs="Times New Roman"/>
                <w:lang w:val="en-US" w:eastAsia="zh-CN"/>
              </w:rPr>
            </w:pPr>
            <w:r>
              <w:rPr>
                <w:rFonts w:hint="default" w:ascii="Times New Roman" w:hAnsi="Times New Roman" w:eastAsia="仿宋" w:cs="Times New Roman"/>
                <w:color w:val="000000"/>
                <w:kern w:val="0"/>
                <w:sz w:val="20"/>
                <w:szCs w:val="20"/>
                <w:lang w:val="en-US" w:eastAsia="zh-CN" w:bidi="ar"/>
              </w:rPr>
              <w:t>平江试点县：        3.92%</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07E78073">
            <w:pPr>
              <w:widowControl/>
              <w:spacing w:line="300" w:lineRule="exact"/>
              <w:rPr>
                <w:rFonts w:hint="default" w:ascii="Times New Roman" w:hAnsi="Times New Roman" w:eastAsia="仿宋" w:cs="Times New Roman"/>
                <w:color w:val="000000"/>
                <w:sz w:val="20"/>
                <w:szCs w:val="20"/>
                <w:lang w:val="en-US" w:eastAsia="zh-CN"/>
              </w:rPr>
            </w:pPr>
          </w:p>
        </w:tc>
      </w:tr>
      <w:tr w14:paraId="40EEE169">
        <w:tblPrEx>
          <w:tblCellMar>
            <w:top w:w="0" w:type="dxa"/>
            <w:left w:w="108" w:type="dxa"/>
            <w:bottom w:w="0" w:type="dxa"/>
            <w:right w:w="108" w:type="dxa"/>
          </w:tblCellMar>
        </w:tblPrEx>
        <w:trPr>
          <w:trHeight w:val="567"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43B98EA0">
            <w:pPr>
              <w:widowControl/>
              <w:spacing w:line="300" w:lineRule="exact"/>
              <w:jc w:val="center"/>
              <w:rPr>
                <w:rFonts w:hint="default" w:ascii="Times New Roman" w:hAnsi="Times New Roman" w:eastAsia="仿宋" w:cs="Times New Roman"/>
                <w:color w:val="000000"/>
                <w:sz w:val="20"/>
                <w:szCs w:val="20"/>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3C9544E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产出指标</w:t>
            </w:r>
          </w:p>
        </w:tc>
        <w:tc>
          <w:tcPr>
            <w:tcW w:w="1227"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6D8E7D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val="en-US" w:eastAsia="zh-CN" w:bidi="ar"/>
              </w:rPr>
              <w:t>质量</w:t>
            </w:r>
            <w:r>
              <w:rPr>
                <w:rFonts w:hint="default" w:ascii="Times New Roman" w:hAnsi="Times New Roman" w:eastAsia="仿宋" w:cs="Times New Roman"/>
                <w:color w:val="000000"/>
                <w:kern w:val="0"/>
                <w:sz w:val="20"/>
                <w:szCs w:val="20"/>
                <w:lang w:bidi="ar"/>
              </w:rPr>
              <w:t>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5A4194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中央财政奖励资金用于符合试点政策要求的充换电基础设施比例</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85960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59C015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5C46C5B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7596A6D0">
        <w:tblPrEx>
          <w:tblCellMar>
            <w:top w:w="0" w:type="dxa"/>
            <w:left w:w="108" w:type="dxa"/>
            <w:bottom w:w="0" w:type="dxa"/>
            <w:right w:w="108" w:type="dxa"/>
          </w:tblCellMar>
        </w:tblPrEx>
        <w:trPr>
          <w:trHeight w:val="567"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44F980B">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CD2CB6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5538EF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445AF9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试点县新建充换电基础设施应面向全社会开放比例</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FC827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1A536D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3FC2C59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6003DFC9">
        <w:tblPrEx>
          <w:tblCellMar>
            <w:top w:w="0" w:type="dxa"/>
            <w:left w:w="108" w:type="dxa"/>
            <w:bottom w:w="0" w:type="dxa"/>
            <w:right w:w="108" w:type="dxa"/>
          </w:tblCellMar>
        </w:tblPrEx>
        <w:trPr>
          <w:trHeight w:val="340"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CEE2701">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8CDEA0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45AC473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48B99F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试点县新建充换电基础设施可用率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BF452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≥99%</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498CE2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≥99%</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25A8922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7A6C99D2">
        <w:tblPrEx>
          <w:tblCellMar>
            <w:top w:w="0" w:type="dxa"/>
            <w:left w:w="108" w:type="dxa"/>
            <w:bottom w:w="0" w:type="dxa"/>
            <w:right w:w="108" w:type="dxa"/>
          </w:tblCellMar>
        </w:tblPrEx>
        <w:trPr>
          <w:trHeight w:val="624"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B0FCDE5">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254DCE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7115E40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1720BD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试点县新建充换电基础设施额定功率大于等于120kW比例</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D716D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78AAEA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578E387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10CFB07A">
        <w:tblPrEx>
          <w:tblCellMar>
            <w:top w:w="0" w:type="dxa"/>
            <w:left w:w="108" w:type="dxa"/>
            <w:bottom w:w="0" w:type="dxa"/>
            <w:right w:w="108" w:type="dxa"/>
          </w:tblCellMar>
        </w:tblPrEx>
        <w:trPr>
          <w:trHeight w:val="720"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441C43F1">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7DCDE57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5AE57C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06FFB6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新建充换电设施接入新能源汽车公共充换电基础设施奖励资金清算平台的比例</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D3196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02F3B5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0456C9F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09B1224B">
        <w:tblPrEx>
          <w:tblCellMar>
            <w:top w:w="0" w:type="dxa"/>
            <w:left w:w="108" w:type="dxa"/>
            <w:bottom w:w="0" w:type="dxa"/>
            <w:right w:w="108"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B31A1F6">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46E71E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4B2B4E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227665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充换电设施支持管理政策体系</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98E7A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有所完善</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3E4F1D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有所完善</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7EA454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6BF57AD6">
        <w:tblPrEx>
          <w:tblCellMar>
            <w:top w:w="0" w:type="dxa"/>
            <w:left w:w="108" w:type="dxa"/>
            <w:bottom w:w="0" w:type="dxa"/>
            <w:right w:w="108" w:type="dxa"/>
          </w:tblCellMar>
        </w:tblPrEx>
        <w:trPr>
          <w:trHeight w:val="567"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715DFF1A">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D54D3E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14:paraId="3C8BBA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时效指标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00B6B8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年度新建充换电设施数量（台）目标</w:t>
            </w:r>
            <w:r>
              <w:rPr>
                <w:rFonts w:hint="eastAsia" w:ascii="Times New Roman" w:hAnsi="Times New Roman" w:eastAsia="仿宋" w:cs="Times New Roman"/>
                <w:color w:val="000000"/>
                <w:kern w:val="0"/>
                <w:sz w:val="20"/>
                <w:szCs w:val="20"/>
                <w:lang w:eastAsia="zh-CN" w:bidi="ar"/>
              </w:rPr>
              <w:t>（</w:t>
            </w:r>
            <w:r>
              <w:rPr>
                <w:rFonts w:hint="default" w:ascii="Times New Roman" w:hAnsi="Times New Roman" w:eastAsia="仿宋" w:cs="Times New Roman"/>
                <w:color w:val="000000"/>
                <w:kern w:val="0"/>
                <w:sz w:val="20"/>
                <w:szCs w:val="20"/>
                <w:lang w:bidi="ar"/>
              </w:rPr>
              <w:t>标准桩</w:t>
            </w:r>
            <w:r>
              <w:rPr>
                <w:rFonts w:hint="eastAsia" w:ascii="Times New Roman" w:hAnsi="Times New Roman" w:eastAsia="仿宋" w:cs="Times New Roman"/>
                <w:color w:val="000000"/>
                <w:kern w:val="0"/>
                <w:sz w:val="20"/>
                <w:szCs w:val="20"/>
                <w:lang w:eastAsia="zh-CN" w:bidi="ar"/>
              </w:rPr>
              <w:t>）</w:t>
            </w:r>
            <w:r>
              <w:rPr>
                <w:rFonts w:hint="default" w:ascii="Times New Roman" w:hAnsi="Times New Roman" w:eastAsia="仿宋" w:cs="Times New Roman"/>
                <w:color w:val="000000"/>
                <w:kern w:val="0"/>
                <w:sz w:val="20"/>
                <w:szCs w:val="20"/>
                <w:lang w:bidi="ar"/>
              </w:rPr>
              <w:t>完成率</w:t>
            </w:r>
          </w:p>
        </w:tc>
        <w:tc>
          <w:tcPr>
            <w:tcW w:w="1950" w:type="dxa"/>
            <w:tcBorders>
              <w:top w:val="single" w:color="000000" w:sz="4" w:space="0"/>
              <w:left w:val="single" w:color="000000" w:sz="4" w:space="0"/>
              <w:bottom w:val="single" w:color="000000" w:sz="4" w:space="0"/>
              <w:right w:val="single" w:color="auto" w:sz="4" w:space="0"/>
            </w:tcBorders>
            <w:noWrap w:val="0"/>
            <w:vAlign w:val="center"/>
          </w:tcPr>
          <w:p w14:paraId="264790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2C465A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慈利桑植联合试点县</w:t>
            </w:r>
            <w:r>
              <w:rPr>
                <w:rFonts w:hint="default" w:ascii="Times New Roman" w:hAnsi="Times New Roman" w:eastAsia="仿宋" w:cs="Times New Roman"/>
                <w:color w:val="000000"/>
                <w:sz w:val="20"/>
                <w:szCs w:val="20"/>
                <w:lang w:val="en-US" w:eastAsia="zh-CN"/>
              </w:rPr>
              <w:t>目标任务完成比例为14.7%，其余各县均超额完成。</w:t>
            </w:r>
          </w:p>
        </w:tc>
        <w:tc>
          <w:tcPr>
            <w:tcW w:w="3949" w:type="dxa"/>
            <w:vMerge w:val="restart"/>
            <w:tcBorders>
              <w:top w:val="single" w:color="auto" w:sz="4" w:space="0"/>
              <w:left w:val="single" w:color="auto" w:sz="4" w:space="0"/>
              <w:right w:val="single" w:color="auto" w:sz="4" w:space="0"/>
            </w:tcBorders>
            <w:noWrap/>
            <w:vAlign w:val="center"/>
          </w:tcPr>
          <w:p w14:paraId="5AFD8AD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 w:eastAsia="zh-CN"/>
              </w:rPr>
              <w:t>慈利桑植联合试点县则因项目前期立项、设计、招标等工作推进周期较长，导致标准桩建设进度未</w:t>
            </w:r>
            <w:r>
              <w:rPr>
                <w:rFonts w:hint="default" w:ascii="Times New Roman" w:hAnsi="Times New Roman" w:eastAsia="仿宋" w:cs="Times New Roman"/>
                <w:color w:val="000000"/>
                <w:sz w:val="20"/>
                <w:szCs w:val="20"/>
                <w:highlight w:val="none"/>
                <w:lang w:val="en" w:eastAsia="zh-CN"/>
              </w:rPr>
              <w:t>达预期，目标任务完成比例相对较低。</w:t>
            </w:r>
            <w:r>
              <w:rPr>
                <w:rFonts w:hint="default" w:ascii="Times New Roman" w:hAnsi="Times New Roman" w:eastAsia="仿宋" w:cs="Times New Roman"/>
                <w:color w:val="000000"/>
                <w:sz w:val="20"/>
                <w:szCs w:val="20"/>
                <w:highlight w:val="none"/>
                <w:lang w:val="en-US" w:eastAsia="zh-CN"/>
              </w:rPr>
              <w:t>下一步，我们将总结前期工作经验教训，压实市县责任，加大力度指导推动县域充换电设施补短板试点工作高效开展。</w:t>
            </w:r>
          </w:p>
        </w:tc>
      </w:tr>
      <w:tr w14:paraId="5FDA0C80">
        <w:tblPrEx>
          <w:tblCellMar>
            <w:top w:w="0" w:type="dxa"/>
            <w:left w:w="108" w:type="dxa"/>
            <w:bottom w:w="0" w:type="dxa"/>
            <w:right w:w="108" w:type="dxa"/>
          </w:tblCellMar>
        </w:tblPrEx>
        <w:trPr>
          <w:trHeight w:val="848"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5940BA5">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19F95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14:paraId="7CEBB88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291951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年度新建充换电设施总功率（千瓦）目标完成率</w:t>
            </w:r>
          </w:p>
        </w:tc>
        <w:tc>
          <w:tcPr>
            <w:tcW w:w="1950" w:type="dxa"/>
            <w:tcBorders>
              <w:top w:val="single" w:color="000000" w:sz="4" w:space="0"/>
              <w:left w:val="single" w:color="000000" w:sz="4" w:space="0"/>
              <w:bottom w:val="single" w:color="000000" w:sz="4" w:space="0"/>
              <w:right w:val="single" w:color="auto" w:sz="4" w:space="0"/>
            </w:tcBorders>
            <w:noWrap w:val="0"/>
            <w:vAlign w:val="center"/>
          </w:tcPr>
          <w:p w14:paraId="3FB6FC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5D3F24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慈利桑植联合试点县总功率年度目标任务完成率为20.4%</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其余各县均超额完成。</w:t>
            </w:r>
          </w:p>
        </w:tc>
        <w:tc>
          <w:tcPr>
            <w:tcW w:w="3949" w:type="dxa"/>
            <w:vMerge w:val="continue"/>
            <w:tcBorders>
              <w:left w:val="single" w:color="auto" w:sz="4" w:space="0"/>
              <w:right w:val="single" w:color="auto" w:sz="4" w:space="0"/>
            </w:tcBorders>
            <w:noWrap/>
            <w:vAlign w:val="center"/>
          </w:tcPr>
          <w:p w14:paraId="488D80D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1689D534">
        <w:tblPrEx>
          <w:tblCellMar>
            <w:top w:w="0" w:type="dxa"/>
            <w:left w:w="108" w:type="dxa"/>
            <w:bottom w:w="0" w:type="dxa"/>
            <w:right w:w="108" w:type="dxa"/>
          </w:tblCellMar>
        </w:tblPrEx>
        <w:trPr>
          <w:trHeight w:val="870"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37F31B7">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75B827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000000" w:sz="4" w:space="0"/>
              <w:left w:val="single" w:color="auto" w:sz="4" w:space="0"/>
              <w:bottom w:val="single" w:color="auto" w:sz="4" w:space="0"/>
              <w:right w:val="single" w:color="000000" w:sz="4" w:space="0"/>
            </w:tcBorders>
            <w:noWrap w:val="0"/>
            <w:vAlign w:val="center"/>
          </w:tcPr>
          <w:p w14:paraId="23D0E0F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3A2CC0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年度新技术新模式任务目标完成率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79DD7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3331" w:type="dxa"/>
            <w:tcBorders>
              <w:top w:val="single" w:color="auto" w:sz="4" w:space="0"/>
              <w:left w:val="single" w:color="000000" w:sz="4" w:space="0"/>
              <w:bottom w:val="single" w:color="000000" w:sz="4" w:space="0"/>
              <w:right w:val="single" w:color="000000" w:sz="4" w:space="0"/>
            </w:tcBorders>
            <w:noWrap w:val="0"/>
            <w:vAlign w:val="center"/>
          </w:tcPr>
          <w:p w14:paraId="7208FF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慈利桑植联合试点县暂未启动新技术应用</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其余各县均采用</w:t>
            </w:r>
            <w:r>
              <w:rPr>
                <w:rFonts w:hint="default" w:ascii="Times New Roman" w:hAnsi="Times New Roman" w:eastAsia="仿宋" w:cs="Times New Roman"/>
                <w:color w:val="000000"/>
                <w:sz w:val="20"/>
                <w:szCs w:val="20"/>
                <w:lang w:eastAsia="zh-CN"/>
              </w:rPr>
              <w:t>新技术新模式，有效提升了充电桩使用率。</w:t>
            </w:r>
          </w:p>
        </w:tc>
        <w:tc>
          <w:tcPr>
            <w:tcW w:w="3949" w:type="dxa"/>
            <w:vMerge w:val="continue"/>
            <w:tcBorders>
              <w:left w:val="single" w:color="auto" w:sz="4" w:space="0"/>
              <w:bottom w:val="single" w:color="000000" w:sz="4" w:space="0"/>
              <w:right w:val="single" w:color="auto" w:sz="4" w:space="0"/>
            </w:tcBorders>
            <w:noWrap/>
            <w:vAlign w:val="center"/>
          </w:tcPr>
          <w:p w14:paraId="5690896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5A834E96">
        <w:tblPrEx>
          <w:tblCellMar>
            <w:top w:w="0" w:type="dxa"/>
            <w:left w:w="108" w:type="dxa"/>
            <w:bottom w:w="0" w:type="dxa"/>
            <w:right w:w="108" w:type="dxa"/>
          </w:tblCellMar>
        </w:tblPrEx>
        <w:trPr>
          <w:trHeight w:val="614"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DFAD398">
            <w:pPr>
              <w:widowControl/>
              <w:spacing w:line="300" w:lineRule="exact"/>
              <w:jc w:val="center"/>
              <w:rPr>
                <w:rFonts w:hint="default" w:ascii="Times New Roman" w:hAnsi="Times New Roman" w:eastAsia="仿宋" w:cs="Times New Roman"/>
                <w:color w:val="000000"/>
                <w:sz w:val="20"/>
                <w:szCs w:val="20"/>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6466E9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2DCE44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3A0D72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3398C7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3EEB97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15BD1A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 w:cs="Times New Roman"/>
                <w:color w:val="000000"/>
                <w:kern w:val="0"/>
                <w:sz w:val="20"/>
                <w:szCs w:val="20"/>
                <w:lang w:val="en-US" w:eastAsia="zh-CN" w:bidi="ar"/>
              </w:rPr>
              <w:t>效益指标</w:t>
            </w:r>
          </w:p>
          <w:p w14:paraId="45CBB9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768C65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717EB4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3DC7E3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336341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776CEB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7368A3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val="en-US" w:eastAsia="zh-CN" w:bidi="ar"/>
              </w:rPr>
            </w:pPr>
          </w:p>
          <w:p w14:paraId="14A652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kern w:val="0"/>
                <w:sz w:val="20"/>
                <w:szCs w:val="20"/>
                <w:lang w:val="en-US" w:eastAsia="zh-CN" w:bidi="ar"/>
              </w:rPr>
              <w:t>效益指标</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633496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经济效益</w:t>
            </w:r>
            <w:r>
              <w:rPr>
                <w:rFonts w:hint="default" w:ascii="Times New Roman" w:hAnsi="Times New Roman" w:eastAsia="仿宋" w:cs="Times New Roman"/>
                <w:color w:val="000000"/>
                <w:kern w:val="0"/>
                <w:sz w:val="20"/>
                <w:szCs w:val="20"/>
                <w:lang w:bidi="ar"/>
              </w:rPr>
              <w:br w:type="textWrapping"/>
            </w:r>
            <w:r>
              <w:rPr>
                <w:rFonts w:hint="default" w:ascii="Times New Roman" w:hAnsi="Times New Roman" w:eastAsia="仿宋" w:cs="Times New Roman"/>
                <w:color w:val="000000"/>
                <w:kern w:val="0"/>
                <w:sz w:val="20"/>
                <w:szCs w:val="20"/>
                <w:lang w:bidi="ar"/>
              </w:rPr>
              <w:t>指标</w:t>
            </w:r>
          </w:p>
        </w:tc>
        <w:tc>
          <w:tcPr>
            <w:tcW w:w="3296" w:type="dxa"/>
            <w:gridSpan w:val="2"/>
            <w:tcBorders>
              <w:top w:val="single" w:color="000000" w:sz="4" w:space="0"/>
              <w:left w:val="single" w:color="auto" w:sz="4" w:space="0"/>
              <w:bottom w:val="single" w:color="000000" w:sz="4" w:space="0"/>
              <w:right w:val="single" w:color="000000" w:sz="4" w:space="0"/>
            </w:tcBorders>
            <w:noWrap w:val="0"/>
            <w:vAlign w:val="center"/>
          </w:tcPr>
          <w:p w14:paraId="60A6F8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新能源汽车渗透率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22E6C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明显提升</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07A168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明显提升</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48645D8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55371D0B">
        <w:tblPrEx>
          <w:tblCellMar>
            <w:top w:w="0" w:type="dxa"/>
            <w:left w:w="108" w:type="dxa"/>
            <w:bottom w:w="0" w:type="dxa"/>
            <w:right w:w="108" w:type="dxa"/>
          </w:tblCellMar>
        </w:tblPrEx>
        <w:trPr>
          <w:trHeight w:val="434" w:hRule="atLeast"/>
          <w:jc w:val="center"/>
        </w:trPr>
        <w:tc>
          <w:tcPr>
            <w:tcW w:w="768" w:type="dxa"/>
            <w:vMerge w:val="continue"/>
            <w:tcBorders>
              <w:top w:val="single" w:color="auto" w:sz="4" w:space="0"/>
              <w:left w:val="single" w:color="auto" w:sz="4" w:space="0"/>
              <w:bottom w:val="single" w:color="auto" w:sz="4" w:space="0"/>
              <w:right w:val="single" w:color="000000" w:sz="4" w:space="0"/>
            </w:tcBorders>
            <w:noWrap w:val="0"/>
            <w:textDirection w:val="tbRlV"/>
            <w:vAlign w:val="center"/>
          </w:tcPr>
          <w:p w14:paraId="61961B36">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031402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02ABF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社会效益</w:t>
            </w:r>
            <w:r>
              <w:rPr>
                <w:rFonts w:hint="default" w:ascii="Times New Roman" w:hAnsi="Times New Roman" w:eastAsia="仿宋" w:cs="Times New Roman"/>
                <w:color w:val="000000"/>
                <w:kern w:val="0"/>
                <w:sz w:val="20"/>
                <w:szCs w:val="20"/>
                <w:lang w:bidi="ar"/>
              </w:rPr>
              <w:br w:type="textWrapping"/>
            </w:r>
            <w:r>
              <w:rPr>
                <w:rFonts w:hint="default" w:ascii="Times New Roman" w:hAnsi="Times New Roman" w:eastAsia="仿宋" w:cs="Times New Roman"/>
                <w:color w:val="000000"/>
                <w:kern w:val="0"/>
                <w:sz w:val="20"/>
                <w:szCs w:val="20"/>
                <w:lang w:bidi="ar"/>
              </w:rPr>
              <w:t>指标</w:t>
            </w:r>
          </w:p>
        </w:tc>
        <w:tc>
          <w:tcPr>
            <w:tcW w:w="3296" w:type="dxa"/>
            <w:gridSpan w:val="2"/>
            <w:tcBorders>
              <w:top w:val="single" w:color="000000" w:sz="4" w:space="0"/>
              <w:left w:val="single" w:color="auto" w:sz="4" w:space="0"/>
              <w:bottom w:val="single" w:color="000000" w:sz="4" w:space="0"/>
              <w:right w:val="single" w:color="000000" w:sz="4" w:space="0"/>
            </w:tcBorders>
            <w:noWrap w:val="0"/>
            <w:vAlign w:val="center"/>
          </w:tcPr>
          <w:p w14:paraId="341DAD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方便县域新能源汽车充电用户数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E63F2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2C3548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3CD653A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2B82A345">
        <w:tblPrEx>
          <w:tblCellMar>
            <w:top w:w="0" w:type="dxa"/>
            <w:left w:w="108" w:type="dxa"/>
            <w:bottom w:w="0" w:type="dxa"/>
            <w:right w:w="108" w:type="dxa"/>
          </w:tblCellMar>
        </w:tblPrEx>
        <w:trPr>
          <w:trHeight w:val="480" w:hRule="atLeast"/>
          <w:jc w:val="center"/>
        </w:trPr>
        <w:tc>
          <w:tcPr>
            <w:tcW w:w="768" w:type="dxa"/>
            <w:vMerge w:val="continue"/>
            <w:tcBorders>
              <w:top w:val="single" w:color="auto" w:sz="4" w:space="0"/>
              <w:left w:val="single" w:color="auto" w:sz="4" w:space="0"/>
              <w:bottom w:val="single" w:color="auto" w:sz="4" w:space="0"/>
              <w:right w:val="single" w:color="000000" w:sz="4" w:space="0"/>
            </w:tcBorders>
            <w:noWrap w:val="0"/>
            <w:textDirection w:val="tbRlV"/>
            <w:vAlign w:val="center"/>
          </w:tcPr>
          <w:p w14:paraId="679A7A5D">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D97E99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38BB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bidi="ar"/>
              </w:rPr>
            </w:pPr>
          </w:p>
        </w:tc>
        <w:tc>
          <w:tcPr>
            <w:tcW w:w="3296" w:type="dxa"/>
            <w:gridSpan w:val="2"/>
            <w:tcBorders>
              <w:top w:val="single" w:color="000000" w:sz="4" w:space="0"/>
              <w:left w:val="single" w:color="auto" w:sz="4" w:space="0"/>
              <w:bottom w:val="single" w:color="000000" w:sz="4" w:space="0"/>
              <w:right w:val="single" w:color="000000" w:sz="4" w:space="0"/>
            </w:tcBorders>
            <w:noWrap w:val="0"/>
            <w:vAlign w:val="center"/>
          </w:tcPr>
          <w:p w14:paraId="43166A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县级邮政快递网点、农村物流节点、农村客货运场站（包括乡镇运输服务站、农村客货邮站点等）、交通综合服务站等场景覆盖率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E7F89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显著提升</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32CBF1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3E32F9D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3F3358A6">
        <w:tblPrEx>
          <w:tblCellMar>
            <w:top w:w="0" w:type="dxa"/>
            <w:left w:w="108" w:type="dxa"/>
            <w:bottom w:w="0" w:type="dxa"/>
            <w:right w:w="108" w:type="dxa"/>
          </w:tblCellMar>
        </w:tblPrEx>
        <w:trPr>
          <w:trHeight w:val="480" w:hRule="atLeast"/>
          <w:jc w:val="center"/>
        </w:trPr>
        <w:tc>
          <w:tcPr>
            <w:tcW w:w="768" w:type="dxa"/>
            <w:vMerge w:val="continue"/>
            <w:tcBorders>
              <w:top w:val="single" w:color="auto" w:sz="4" w:space="0"/>
              <w:left w:val="single" w:color="auto" w:sz="4" w:space="0"/>
              <w:bottom w:val="single" w:color="auto" w:sz="4" w:space="0"/>
              <w:right w:val="single" w:color="000000" w:sz="4" w:space="0"/>
            </w:tcBorders>
            <w:noWrap w:val="0"/>
            <w:textDirection w:val="tbRlV"/>
            <w:vAlign w:val="center"/>
          </w:tcPr>
          <w:p w14:paraId="65CFC815">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9C86B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color w:val="000000"/>
                <w:sz w:val="20"/>
                <w:szCs w:val="20"/>
              </w:rPr>
            </w:pPr>
          </w:p>
        </w:tc>
        <w:tc>
          <w:tcPr>
            <w:tcW w:w="1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EECD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bidi="ar"/>
              </w:rPr>
            </w:pPr>
          </w:p>
        </w:tc>
        <w:tc>
          <w:tcPr>
            <w:tcW w:w="3296" w:type="dxa"/>
            <w:gridSpan w:val="2"/>
            <w:tcBorders>
              <w:top w:val="single" w:color="000000" w:sz="4" w:space="0"/>
              <w:left w:val="single" w:color="auto" w:sz="4" w:space="0"/>
              <w:bottom w:val="single" w:color="000000" w:sz="4" w:space="0"/>
              <w:right w:val="single" w:color="000000" w:sz="4" w:space="0"/>
            </w:tcBorders>
            <w:noWrap w:val="0"/>
            <w:vAlign w:val="center"/>
          </w:tcPr>
          <w:p w14:paraId="4A192B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充换电基础设施与高速公路出入口（3km范围内）、“四好农村路”等衔接情况</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E5FD6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显著提升</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4C0E4C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1FE0BE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 w:cs="Times New Roman"/>
                <w:color w:val="000000"/>
                <w:sz w:val="20"/>
                <w:szCs w:val="20"/>
              </w:rPr>
            </w:pPr>
          </w:p>
        </w:tc>
      </w:tr>
      <w:tr w14:paraId="45E9B45A">
        <w:tblPrEx>
          <w:tblCellMar>
            <w:top w:w="0" w:type="dxa"/>
            <w:left w:w="108" w:type="dxa"/>
            <w:bottom w:w="0" w:type="dxa"/>
            <w:right w:w="108" w:type="dxa"/>
          </w:tblCellMar>
        </w:tblPrEx>
        <w:trPr>
          <w:trHeight w:val="740" w:hRule="atLeast"/>
          <w:jc w:val="center"/>
        </w:trPr>
        <w:tc>
          <w:tcPr>
            <w:tcW w:w="768" w:type="dxa"/>
            <w:vMerge w:val="continue"/>
            <w:tcBorders>
              <w:top w:val="single" w:color="auto" w:sz="4" w:space="0"/>
              <w:left w:val="single" w:color="auto" w:sz="4" w:space="0"/>
              <w:bottom w:val="single" w:color="auto" w:sz="4" w:space="0"/>
              <w:right w:val="single" w:color="000000" w:sz="4" w:space="0"/>
            </w:tcBorders>
            <w:noWrap w:val="0"/>
            <w:textDirection w:val="tbRlV"/>
            <w:vAlign w:val="center"/>
          </w:tcPr>
          <w:p w14:paraId="48E2283D">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EB49CD2">
            <w:pPr>
              <w:widowControl/>
              <w:spacing w:line="300" w:lineRule="exact"/>
              <w:jc w:val="center"/>
              <w:rPr>
                <w:rFonts w:hint="default" w:ascii="Times New Roman" w:hAnsi="Times New Roman" w:eastAsia="仿宋" w:cs="Times New Roman"/>
                <w:color w:val="000000"/>
                <w:sz w:val="20"/>
                <w:szCs w:val="20"/>
              </w:rPr>
            </w:pPr>
          </w:p>
        </w:tc>
        <w:tc>
          <w:tcPr>
            <w:tcW w:w="1227" w:type="dxa"/>
            <w:gridSpan w:val="2"/>
            <w:tcBorders>
              <w:top w:val="single" w:color="auto" w:sz="4" w:space="0"/>
              <w:left w:val="single" w:color="auto" w:sz="4" w:space="0"/>
              <w:bottom w:val="single" w:color="000000" w:sz="4" w:space="0"/>
              <w:right w:val="single" w:color="000000" w:sz="4" w:space="0"/>
            </w:tcBorders>
            <w:noWrap w:val="0"/>
            <w:vAlign w:val="center"/>
          </w:tcPr>
          <w:p w14:paraId="4177CC4B">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生态效益</w:t>
            </w:r>
            <w:r>
              <w:rPr>
                <w:rFonts w:hint="default" w:ascii="Times New Roman" w:hAnsi="Times New Roman" w:eastAsia="仿宋" w:cs="Times New Roman"/>
                <w:color w:val="000000"/>
                <w:kern w:val="0"/>
                <w:sz w:val="20"/>
                <w:szCs w:val="20"/>
                <w:lang w:bidi="ar"/>
              </w:rPr>
              <w:br w:type="textWrapping"/>
            </w:r>
            <w:r>
              <w:rPr>
                <w:rFonts w:hint="default" w:ascii="Times New Roman" w:hAnsi="Times New Roman" w:eastAsia="仿宋" w:cs="Times New Roman"/>
                <w:color w:val="000000"/>
                <w:kern w:val="0"/>
                <w:sz w:val="20"/>
                <w:szCs w:val="20"/>
                <w:lang w:bidi="ar"/>
              </w:rPr>
              <w:t>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1F872422">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节能减排效果</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DD82268">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有所提升</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69D00E88">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有所提升</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5BE1F20C">
            <w:pPr>
              <w:widowControl/>
              <w:spacing w:line="300" w:lineRule="exact"/>
              <w:rPr>
                <w:rFonts w:hint="default" w:ascii="Times New Roman" w:hAnsi="Times New Roman" w:eastAsia="仿宋" w:cs="Times New Roman"/>
                <w:color w:val="000000"/>
                <w:sz w:val="20"/>
                <w:szCs w:val="20"/>
              </w:rPr>
            </w:pPr>
          </w:p>
        </w:tc>
      </w:tr>
      <w:tr w14:paraId="0D4B85F7">
        <w:tblPrEx>
          <w:tblCellMar>
            <w:top w:w="0" w:type="dxa"/>
            <w:left w:w="108" w:type="dxa"/>
            <w:bottom w:w="0" w:type="dxa"/>
            <w:right w:w="108" w:type="dxa"/>
          </w:tblCellMar>
        </w:tblPrEx>
        <w:trPr>
          <w:trHeight w:val="720" w:hRule="atLeast"/>
          <w:jc w:val="center"/>
        </w:trPr>
        <w:tc>
          <w:tcPr>
            <w:tcW w:w="768" w:type="dxa"/>
            <w:vMerge w:val="continue"/>
            <w:tcBorders>
              <w:top w:val="single" w:color="auto" w:sz="4" w:space="0"/>
              <w:left w:val="single" w:color="auto" w:sz="4" w:space="0"/>
              <w:bottom w:val="single" w:color="auto" w:sz="4" w:space="0"/>
              <w:right w:val="single" w:color="000000" w:sz="4" w:space="0"/>
            </w:tcBorders>
            <w:noWrap w:val="0"/>
            <w:textDirection w:val="tbRlV"/>
            <w:vAlign w:val="center"/>
          </w:tcPr>
          <w:p w14:paraId="38B8FE21">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5DDE99B">
            <w:pPr>
              <w:widowControl/>
              <w:spacing w:line="300" w:lineRule="exact"/>
              <w:jc w:val="center"/>
              <w:rPr>
                <w:rFonts w:hint="default" w:ascii="Times New Roman" w:hAnsi="Times New Roman" w:eastAsia="仿宋" w:cs="Times New Roman"/>
                <w:color w:val="000000"/>
                <w:sz w:val="20"/>
                <w:szCs w:val="20"/>
              </w:rPr>
            </w:pPr>
          </w:p>
        </w:tc>
        <w:tc>
          <w:tcPr>
            <w:tcW w:w="1227" w:type="dxa"/>
            <w:gridSpan w:val="2"/>
            <w:vMerge w:val="restart"/>
            <w:tcBorders>
              <w:top w:val="single" w:color="000000" w:sz="4" w:space="0"/>
              <w:left w:val="single" w:color="auto" w:sz="4" w:space="0"/>
              <w:right w:val="single" w:color="000000" w:sz="4" w:space="0"/>
            </w:tcBorders>
            <w:noWrap w:val="0"/>
            <w:vAlign w:val="center"/>
          </w:tcPr>
          <w:p w14:paraId="1236C2B4">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可持续影响指标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6B4B5ED9">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试点期间新建充换电设施可持续运营年限</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EF5BF88">
            <w:pPr>
              <w:widowControl/>
              <w:spacing w:line="300" w:lineRule="exact"/>
              <w:jc w:val="center"/>
              <w:textAlignment w:val="center"/>
              <w:rPr>
                <w:rFonts w:hint="default" w:ascii="Times New Roman" w:hAnsi="Times New Roman" w:eastAsia="仿宋" w:cs="Times New Roman"/>
                <w:color w:val="000000"/>
                <w:sz w:val="20"/>
                <w:szCs w:val="20"/>
              </w:rPr>
            </w:pPr>
            <w:r>
              <w:rPr>
                <w:rStyle w:val="5"/>
                <w:rFonts w:hint="default" w:ascii="Times New Roman" w:hAnsi="Times New Roman" w:eastAsia="仿宋" w:cs="Times New Roman"/>
                <w:lang w:bidi="ar"/>
              </w:rPr>
              <w:t>≥6年</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2903EA02">
            <w:pPr>
              <w:widowControl/>
              <w:spacing w:line="300" w:lineRule="exact"/>
              <w:jc w:val="center"/>
              <w:textAlignment w:val="center"/>
              <w:rPr>
                <w:rFonts w:hint="default" w:ascii="Times New Roman" w:hAnsi="Times New Roman" w:eastAsia="仿宋" w:cs="Times New Roman"/>
                <w:color w:val="000000"/>
                <w:sz w:val="20"/>
                <w:szCs w:val="20"/>
              </w:rPr>
            </w:pPr>
            <w:r>
              <w:rPr>
                <w:rStyle w:val="5"/>
                <w:rFonts w:hint="default" w:ascii="Times New Roman" w:hAnsi="Times New Roman" w:eastAsia="仿宋" w:cs="Times New Roman"/>
                <w:lang w:bidi="ar"/>
              </w:rPr>
              <w:t>≥6年</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2DF3487D">
            <w:pPr>
              <w:widowControl/>
              <w:spacing w:line="300" w:lineRule="exact"/>
              <w:rPr>
                <w:rFonts w:hint="default" w:ascii="Times New Roman" w:hAnsi="Times New Roman" w:eastAsia="仿宋" w:cs="Times New Roman"/>
                <w:color w:val="000000"/>
                <w:sz w:val="20"/>
                <w:szCs w:val="20"/>
              </w:rPr>
            </w:pPr>
          </w:p>
        </w:tc>
      </w:tr>
      <w:tr w14:paraId="2E517C31">
        <w:tblPrEx>
          <w:tblCellMar>
            <w:top w:w="0" w:type="dxa"/>
            <w:left w:w="108" w:type="dxa"/>
            <w:bottom w:w="0" w:type="dxa"/>
            <w:right w:w="108" w:type="dxa"/>
          </w:tblCellMar>
        </w:tblPrEx>
        <w:trPr>
          <w:trHeight w:val="720" w:hRule="atLeast"/>
          <w:jc w:val="center"/>
        </w:trPr>
        <w:tc>
          <w:tcPr>
            <w:tcW w:w="768" w:type="dxa"/>
            <w:vMerge w:val="continue"/>
            <w:tcBorders>
              <w:top w:val="single" w:color="auto" w:sz="4" w:space="0"/>
              <w:left w:val="single" w:color="auto" w:sz="4" w:space="0"/>
              <w:bottom w:val="single" w:color="auto" w:sz="4" w:space="0"/>
              <w:right w:val="single" w:color="000000" w:sz="4" w:space="0"/>
            </w:tcBorders>
            <w:noWrap w:val="0"/>
            <w:textDirection w:val="tbRlV"/>
            <w:vAlign w:val="center"/>
          </w:tcPr>
          <w:p w14:paraId="5AB8D404">
            <w:pPr>
              <w:widowControl/>
              <w:spacing w:line="300" w:lineRule="exact"/>
              <w:jc w:val="center"/>
              <w:rPr>
                <w:rFonts w:hint="default" w:ascii="Times New Roman" w:hAnsi="Times New Roman" w:eastAsia="仿宋" w:cs="Times New Roman"/>
                <w:color w:val="000000"/>
                <w:sz w:val="20"/>
                <w:szCs w:val="20"/>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EE4B53C">
            <w:pPr>
              <w:widowControl/>
              <w:spacing w:line="300" w:lineRule="exact"/>
              <w:jc w:val="center"/>
              <w:rPr>
                <w:rFonts w:hint="default" w:ascii="Times New Roman" w:hAnsi="Times New Roman" w:eastAsia="仿宋" w:cs="Times New Roman"/>
                <w:color w:val="000000"/>
                <w:sz w:val="20"/>
                <w:szCs w:val="20"/>
              </w:rPr>
            </w:pPr>
          </w:p>
        </w:tc>
        <w:tc>
          <w:tcPr>
            <w:tcW w:w="1227" w:type="dxa"/>
            <w:gridSpan w:val="2"/>
            <w:vMerge w:val="continue"/>
            <w:tcBorders>
              <w:left w:val="single" w:color="auto" w:sz="4" w:space="0"/>
              <w:bottom w:val="single" w:color="000000" w:sz="4" w:space="0"/>
              <w:right w:val="single" w:color="000000" w:sz="4" w:space="0"/>
            </w:tcBorders>
            <w:noWrap w:val="0"/>
            <w:vAlign w:val="center"/>
          </w:tcPr>
          <w:p w14:paraId="6A980CED">
            <w:pPr>
              <w:widowControl/>
              <w:spacing w:line="300" w:lineRule="exact"/>
              <w:jc w:val="center"/>
              <w:textAlignment w:val="center"/>
              <w:rPr>
                <w:rFonts w:hint="default" w:ascii="Times New Roman" w:hAnsi="Times New Roman" w:eastAsia="仿宋" w:cs="Times New Roman"/>
                <w:color w:val="000000"/>
                <w:kern w:val="0"/>
                <w:sz w:val="20"/>
                <w:szCs w:val="20"/>
                <w:lang w:bidi="ar"/>
              </w:rPr>
            </w:pP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37695E81">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试点期间试点县充换电设施空间布局整体合理性</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A4FAB77">
            <w:pPr>
              <w:widowControl/>
              <w:spacing w:line="300" w:lineRule="exact"/>
              <w:jc w:val="center"/>
              <w:textAlignment w:val="center"/>
              <w:rPr>
                <w:rStyle w:val="5"/>
                <w:rFonts w:hint="default" w:ascii="Times New Roman" w:hAnsi="Times New Roman" w:eastAsia="仿宋" w:cs="Times New Roman"/>
                <w:lang w:bidi="ar"/>
              </w:rPr>
            </w:pPr>
            <w:r>
              <w:rPr>
                <w:rStyle w:val="5"/>
                <w:rFonts w:hint="default" w:ascii="Times New Roman" w:hAnsi="Times New Roman" w:eastAsia="仿宋" w:cs="Times New Roman"/>
                <w:lang w:bidi="ar"/>
              </w:rPr>
              <w:t>有所提升</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31F20775">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Style w:val="5"/>
                <w:rFonts w:hint="default" w:ascii="Times New Roman" w:hAnsi="Times New Roman" w:eastAsia="仿宋" w:cs="Times New Roman"/>
                <w:lang w:val="en-US" w:eastAsia="zh-CN" w:bidi="ar"/>
              </w:rPr>
              <w:t>有</w:t>
            </w:r>
            <w:r>
              <w:rPr>
                <w:rStyle w:val="5"/>
                <w:rFonts w:hint="default" w:ascii="Times New Roman" w:hAnsi="Times New Roman" w:eastAsia="仿宋" w:cs="Times New Roman"/>
                <w:lang w:bidi="ar"/>
              </w:rPr>
              <w:t>所提升</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6CB1D413">
            <w:pPr>
              <w:widowControl/>
              <w:spacing w:line="300" w:lineRule="exact"/>
              <w:rPr>
                <w:rFonts w:hint="default" w:ascii="Times New Roman" w:hAnsi="Times New Roman" w:eastAsia="仿宋" w:cs="Times New Roman"/>
                <w:color w:val="000000"/>
                <w:sz w:val="20"/>
                <w:szCs w:val="20"/>
              </w:rPr>
            </w:pPr>
          </w:p>
        </w:tc>
      </w:tr>
      <w:tr w14:paraId="6AC83A26">
        <w:tblPrEx>
          <w:tblCellMar>
            <w:top w:w="0" w:type="dxa"/>
            <w:left w:w="108" w:type="dxa"/>
            <w:bottom w:w="0" w:type="dxa"/>
            <w:right w:w="108" w:type="dxa"/>
          </w:tblCellMar>
        </w:tblPrEx>
        <w:trPr>
          <w:trHeight w:val="480" w:hRule="atLeast"/>
          <w:jc w:val="center"/>
        </w:trPr>
        <w:tc>
          <w:tcPr>
            <w:tcW w:w="768" w:type="dxa"/>
            <w:vMerge w:val="continue"/>
            <w:tcBorders>
              <w:top w:val="single" w:color="auto" w:sz="4" w:space="0"/>
              <w:left w:val="single" w:color="auto" w:sz="4" w:space="0"/>
              <w:bottom w:val="single" w:color="000000" w:sz="4" w:space="0"/>
              <w:right w:val="single" w:color="000000" w:sz="4" w:space="0"/>
            </w:tcBorders>
            <w:noWrap w:val="0"/>
            <w:textDirection w:val="tbRlV"/>
            <w:vAlign w:val="center"/>
          </w:tcPr>
          <w:p w14:paraId="3DDD68EF">
            <w:pPr>
              <w:widowControl/>
              <w:spacing w:line="300" w:lineRule="exact"/>
              <w:jc w:val="center"/>
              <w:rPr>
                <w:rFonts w:hint="default" w:ascii="Times New Roman" w:hAnsi="Times New Roman" w:eastAsia="仿宋" w:cs="Times New Roman"/>
                <w:color w:val="000000"/>
                <w:sz w:val="20"/>
                <w:szCs w:val="20"/>
              </w:rPr>
            </w:pPr>
          </w:p>
        </w:tc>
        <w:tc>
          <w:tcPr>
            <w:tcW w:w="1069" w:type="dxa"/>
            <w:tcBorders>
              <w:top w:val="single" w:color="auto" w:sz="4" w:space="0"/>
              <w:left w:val="single" w:color="000000" w:sz="4" w:space="0"/>
              <w:bottom w:val="single" w:color="000000" w:sz="4" w:space="0"/>
              <w:right w:val="single" w:color="000000" w:sz="4" w:space="0"/>
            </w:tcBorders>
            <w:noWrap w:val="0"/>
            <w:vAlign w:val="center"/>
          </w:tcPr>
          <w:p w14:paraId="6A9DBBBA">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满意度指标</w:t>
            </w:r>
          </w:p>
        </w:tc>
        <w:tc>
          <w:tcPr>
            <w:tcW w:w="1227" w:type="dxa"/>
            <w:gridSpan w:val="2"/>
            <w:tcBorders>
              <w:top w:val="single" w:color="000000" w:sz="4" w:space="0"/>
              <w:left w:val="single" w:color="000000" w:sz="4" w:space="0"/>
              <w:bottom w:val="single" w:color="000000" w:sz="4" w:space="0"/>
              <w:right w:val="single" w:color="000000" w:sz="4" w:space="0"/>
            </w:tcBorders>
            <w:noWrap w:val="0"/>
            <w:vAlign w:val="center"/>
          </w:tcPr>
          <w:p w14:paraId="6E7B9A49">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服务对象</w:t>
            </w:r>
            <w:r>
              <w:rPr>
                <w:rFonts w:hint="default" w:ascii="Times New Roman" w:hAnsi="Times New Roman" w:eastAsia="仿宋" w:cs="Times New Roman"/>
                <w:color w:val="000000"/>
                <w:kern w:val="0"/>
                <w:sz w:val="20"/>
                <w:szCs w:val="20"/>
                <w:lang w:bidi="ar"/>
              </w:rPr>
              <w:br w:type="textWrapping"/>
            </w:r>
            <w:r>
              <w:rPr>
                <w:rFonts w:hint="default" w:ascii="Times New Roman" w:hAnsi="Times New Roman" w:eastAsia="仿宋" w:cs="Times New Roman"/>
                <w:color w:val="000000"/>
                <w:kern w:val="0"/>
                <w:sz w:val="20"/>
                <w:szCs w:val="20"/>
                <w:lang w:bidi="ar"/>
              </w:rPr>
              <w:t>满意度指标</w:t>
            </w:r>
          </w:p>
        </w:tc>
        <w:tc>
          <w:tcPr>
            <w:tcW w:w="3296" w:type="dxa"/>
            <w:gridSpan w:val="2"/>
            <w:tcBorders>
              <w:top w:val="single" w:color="000000" w:sz="4" w:space="0"/>
              <w:left w:val="single" w:color="000000" w:sz="4" w:space="0"/>
              <w:bottom w:val="single" w:color="000000" w:sz="4" w:space="0"/>
              <w:right w:val="single" w:color="000000" w:sz="4" w:space="0"/>
            </w:tcBorders>
            <w:noWrap w:val="0"/>
            <w:vAlign w:val="center"/>
          </w:tcPr>
          <w:p w14:paraId="35475C9C">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受益群众满意度</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CD3A80B">
            <w:pPr>
              <w:widowControl/>
              <w:spacing w:line="300" w:lineRule="exact"/>
              <w:jc w:val="center"/>
              <w:textAlignment w:val="center"/>
              <w:rPr>
                <w:rFonts w:hint="default" w:ascii="Times New Roman" w:hAnsi="Times New Roman" w:eastAsia="仿宋" w:cs="Times New Roman"/>
                <w:color w:val="000000"/>
                <w:sz w:val="20"/>
                <w:szCs w:val="20"/>
              </w:rPr>
            </w:pPr>
            <w:r>
              <w:rPr>
                <w:rStyle w:val="5"/>
                <w:rFonts w:hint="default" w:ascii="Times New Roman" w:hAnsi="Times New Roman" w:eastAsia="仿宋" w:cs="Times New Roman"/>
                <w:lang w:bidi="ar"/>
              </w:rPr>
              <w:t>＞</w:t>
            </w:r>
            <w:r>
              <w:rPr>
                <w:rStyle w:val="6"/>
                <w:rFonts w:hint="default" w:ascii="Times New Roman" w:hAnsi="Times New Roman" w:eastAsia="仿宋" w:cs="Times New Roman"/>
                <w:lang w:bidi="ar"/>
              </w:rPr>
              <w:t>90%</w:t>
            </w:r>
          </w:p>
        </w:tc>
        <w:tc>
          <w:tcPr>
            <w:tcW w:w="3331" w:type="dxa"/>
            <w:tcBorders>
              <w:top w:val="single" w:color="000000" w:sz="4" w:space="0"/>
              <w:left w:val="single" w:color="000000" w:sz="4" w:space="0"/>
              <w:bottom w:val="single" w:color="000000" w:sz="4" w:space="0"/>
              <w:right w:val="single" w:color="000000" w:sz="4" w:space="0"/>
            </w:tcBorders>
            <w:noWrap w:val="0"/>
            <w:vAlign w:val="center"/>
          </w:tcPr>
          <w:p w14:paraId="2B251CE9">
            <w:pPr>
              <w:widowControl/>
              <w:spacing w:line="300" w:lineRule="exact"/>
              <w:jc w:val="center"/>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 w:cs="Times New Roman"/>
                <w:color w:val="000000"/>
                <w:kern w:val="0"/>
                <w:sz w:val="20"/>
                <w:szCs w:val="20"/>
                <w:lang w:val="en-US" w:eastAsia="zh-CN" w:bidi="ar"/>
              </w:rPr>
              <w:t>临澧安乡联合试点县： 98%</w:t>
            </w:r>
          </w:p>
          <w:p w14:paraId="7798FF6A">
            <w:pPr>
              <w:widowControl/>
              <w:spacing w:line="300" w:lineRule="exact"/>
              <w:jc w:val="center"/>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 w:cs="Times New Roman"/>
                <w:color w:val="000000"/>
                <w:kern w:val="0"/>
                <w:sz w:val="20"/>
                <w:szCs w:val="20"/>
                <w:lang w:val="en-US" w:eastAsia="zh-CN" w:bidi="ar"/>
              </w:rPr>
              <w:t>慈利桑植联合试点县： 95%</w:t>
            </w:r>
          </w:p>
          <w:p w14:paraId="76B5A65A">
            <w:pPr>
              <w:widowControl/>
              <w:spacing w:line="300" w:lineRule="exact"/>
              <w:ind w:firstLine="800" w:firstLineChars="400"/>
              <w:jc w:val="both"/>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val="en-US" w:eastAsia="zh-CN" w:bidi="ar"/>
              </w:rPr>
              <w:t>平江试点县：        92%</w:t>
            </w:r>
          </w:p>
        </w:tc>
        <w:tc>
          <w:tcPr>
            <w:tcW w:w="3949" w:type="dxa"/>
            <w:tcBorders>
              <w:top w:val="single" w:color="000000" w:sz="4" w:space="0"/>
              <w:left w:val="single" w:color="000000" w:sz="4" w:space="0"/>
              <w:bottom w:val="single" w:color="000000" w:sz="4" w:space="0"/>
              <w:right w:val="single" w:color="000000" w:sz="4" w:space="0"/>
            </w:tcBorders>
            <w:noWrap/>
            <w:vAlign w:val="center"/>
          </w:tcPr>
          <w:p w14:paraId="62CAAFE4">
            <w:pPr>
              <w:widowControl/>
              <w:spacing w:line="300" w:lineRule="exact"/>
              <w:rPr>
                <w:rFonts w:hint="default" w:ascii="Times New Roman" w:hAnsi="Times New Roman" w:eastAsia="仿宋" w:cs="Times New Roman"/>
                <w:color w:val="000000"/>
                <w:sz w:val="20"/>
                <w:szCs w:val="20"/>
              </w:rPr>
            </w:pPr>
          </w:p>
        </w:tc>
      </w:tr>
      <w:tr w14:paraId="489015F8">
        <w:tblPrEx>
          <w:tblCellMar>
            <w:top w:w="0" w:type="dxa"/>
            <w:left w:w="108" w:type="dxa"/>
            <w:bottom w:w="0" w:type="dxa"/>
            <w:right w:w="108" w:type="dxa"/>
          </w:tblCellMar>
        </w:tblPrEx>
        <w:trPr>
          <w:trHeight w:val="5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3254DA21">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说明</w:t>
            </w:r>
          </w:p>
        </w:tc>
        <w:tc>
          <w:tcPr>
            <w:tcW w:w="14822" w:type="dxa"/>
            <w:gridSpan w:val="8"/>
            <w:tcBorders>
              <w:top w:val="single" w:color="000000" w:sz="4" w:space="0"/>
              <w:left w:val="single" w:color="000000" w:sz="4" w:space="0"/>
              <w:bottom w:val="single" w:color="000000" w:sz="4" w:space="0"/>
              <w:right w:val="single" w:color="000000" w:sz="4" w:space="0"/>
            </w:tcBorders>
            <w:noWrap w:val="0"/>
            <w:vAlign w:val="center"/>
          </w:tcPr>
          <w:p w14:paraId="6260ECA6">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请在此处简要说明中央巡视、各级审计和财政监督中发现的问题及其所涉及的金额，如没有请填无。</w:t>
            </w:r>
          </w:p>
        </w:tc>
      </w:tr>
      <w:tr w14:paraId="3112E33D">
        <w:tblPrEx>
          <w:tblCellMar>
            <w:top w:w="0" w:type="dxa"/>
            <w:left w:w="108" w:type="dxa"/>
            <w:bottom w:w="0" w:type="dxa"/>
            <w:right w:w="108" w:type="dxa"/>
          </w:tblCellMar>
        </w:tblPrEx>
        <w:trPr>
          <w:trHeight w:val="240" w:hRule="atLeast"/>
          <w:jc w:val="center"/>
        </w:trPr>
        <w:tc>
          <w:tcPr>
            <w:tcW w:w="15590" w:type="dxa"/>
            <w:gridSpan w:val="9"/>
            <w:tcBorders>
              <w:top w:val="nil"/>
              <w:left w:val="nil"/>
              <w:bottom w:val="nil"/>
              <w:right w:val="nil"/>
            </w:tcBorders>
            <w:noWrap w:val="0"/>
            <w:vAlign w:val="bottom"/>
          </w:tcPr>
          <w:p w14:paraId="09D05DA5">
            <w:pPr>
              <w:widowControl/>
              <w:spacing w:line="300" w:lineRule="exact"/>
              <w:jc w:val="left"/>
              <w:textAlignment w:val="bottom"/>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注：1.资金使用单位按项目绩效目标填报，主管部门汇总时按区域绩效目标填报。</w:t>
            </w:r>
          </w:p>
        </w:tc>
      </w:tr>
      <w:tr w14:paraId="7204750B">
        <w:tblPrEx>
          <w:tblCellMar>
            <w:top w:w="0" w:type="dxa"/>
            <w:left w:w="108" w:type="dxa"/>
            <w:bottom w:w="0" w:type="dxa"/>
            <w:right w:w="108" w:type="dxa"/>
          </w:tblCellMar>
        </w:tblPrEx>
        <w:trPr>
          <w:trHeight w:val="240" w:hRule="atLeast"/>
          <w:jc w:val="center"/>
        </w:trPr>
        <w:tc>
          <w:tcPr>
            <w:tcW w:w="15590" w:type="dxa"/>
            <w:gridSpan w:val="9"/>
            <w:tcBorders>
              <w:top w:val="nil"/>
              <w:left w:val="nil"/>
              <w:bottom w:val="nil"/>
              <w:right w:val="nil"/>
            </w:tcBorders>
            <w:noWrap w:val="0"/>
            <w:vAlign w:val="bottom"/>
          </w:tcPr>
          <w:p w14:paraId="4C1BCDA9">
            <w:pPr>
              <w:widowControl/>
              <w:spacing w:line="300" w:lineRule="exact"/>
              <w:jc w:val="left"/>
              <w:textAlignment w:val="bottom"/>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2.其他资金包括与中央财政资金、地方财政资金共同投入到同一项目的自有资金、社会资金，以及以前年度的结转结余资金等。</w:t>
            </w:r>
          </w:p>
        </w:tc>
      </w:tr>
      <w:tr w14:paraId="7314A5EB">
        <w:tblPrEx>
          <w:tblCellMar>
            <w:top w:w="0" w:type="dxa"/>
            <w:left w:w="108" w:type="dxa"/>
            <w:bottom w:w="0" w:type="dxa"/>
            <w:right w:w="108" w:type="dxa"/>
          </w:tblCellMar>
        </w:tblPrEx>
        <w:trPr>
          <w:trHeight w:val="240" w:hRule="atLeast"/>
          <w:jc w:val="center"/>
        </w:trPr>
        <w:tc>
          <w:tcPr>
            <w:tcW w:w="15590" w:type="dxa"/>
            <w:gridSpan w:val="9"/>
            <w:tcBorders>
              <w:top w:val="nil"/>
              <w:left w:val="nil"/>
              <w:bottom w:val="nil"/>
              <w:right w:val="nil"/>
            </w:tcBorders>
            <w:noWrap w:val="0"/>
            <w:vAlign w:val="bottom"/>
          </w:tcPr>
          <w:p w14:paraId="7A632B65">
            <w:pPr>
              <w:widowControl/>
              <w:spacing w:line="300" w:lineRule="exact"/>
              <w:jc w:val="left"/>
              <w:textAlignment w:val="bottom"/>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3.全年执行数是指按照国家集中支付制度要求所形成的实际支出。</w:t>
            </w:r>
          </w:p>
        </w:tc>
      </w:tr>
      <w:tr w14:paraId="3E290D11">
        <w:tblPrEx>
          <w:tblCellMar>
            <w:top w:w="0" w:type="dxa"/>
            <w:left w:w="108" w:type="dxa"/>
            <w:bottom w:w="0" w:type="dxa"/>
            <w:right w:w="108" w:type="dxa"/>
          </w:tblCellMar>
        </w:tblPrEx>
        <w:trPr>
          <w:trHeight w:val="240" w:hRule="atLeast"/>
          <w:jc w:val="center"/>
        </w:trPr>
        <w:tc>
          <w:tcPr>
            <w:tcW w:w="15590" w:type="dxa"/>
            <w:gridSpan w:val="9"/>
            <w:tcBorders>
              <w:top w:val="nil"/>
              <w:left w:val="nil"/>
              <w:bottom w:val="nil"/>
              <w:right w:val="nil"/>
            </w:tcBorders>
            <w:noWrap w:val="0"/>
            <w:vAlign w:val="bottom"/>
          </w:tcPr>
          <w:p w14:paraId="20EE7F02">
            <w:pPr>
              <w:widowControl/>
              <w:spacing w:line="300" w:lineRule="exact"/>
              <w:jc w:val="left"/>
              <w:textAlignment w:val="bottom"/>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4.定量指标。地方各级主管部门对资金使用单位填写的实际完成值汇总时，绝对值直接累加计算，相对值按照资金额度加权平均计算。</w:t>
            </w:r>
          </w:p>
        </w:tc>
      </w:tr>
      <w:tr w14:paraId="25C0DB28">
        <w:tblPrEx>
          <w:tblCellMar>
            <w:top w:w="0" w:type="dxa"/>
            <w:left w:w="108" w:type="dxa"/>
            <w:bottom w:w="0" w:type="dxa"/>
            <w:right w:w="108" w:type="dxa"/>
          </w:tblCellMar>
        </w:tblPrEx>
        <w:trPr>
          <w:trHeight w:val="240" w:hRule="atLeast"/>
          <w:jc w:val="center"/>
        </w:trPr>
        <w:tc>
          <w:tcPr>
            <w:tcW w:w="15590" w:type="dxa"/>
            <w:gridSpan w:val="9"/>
            <w:tcBorders>
              <w:top w:val="nil"/>
              <w:left w:val="nil"/>
              <w:bottom w:val="nil"/>
              <w:right w:val="nil"/>
            </w:tcBorders>
            <w:noWrap w:val="0"/>
            <w:vAlign w:val="bottom"/>
          </w:tcPr>
          <w:p w14:paraId="5EF1E0C1">
            <w:pPr>
              <w:widowControl/>
              <w:spacing w:line="300" w:lineRule="exact"/>
              <w:jc w:val="left"/>
              <w:textAlignment w:val="bottom"/>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5.定性指标。资金使用单位分别按照80%（含）-100%、60%（含）-80%、0%-60%合理填报实际完成值。地方各级主管部门汇总时，按照资金额度加权平均计算完成值。</w:t>
            </w:r>
          </w:p>
        </w:tc>
      </w:tr>
    </w:tbl>
    <w:p w14:paraId="1D306285">
      <w:pPr>
        <w:pStyle w:val="4"/>
        <w:adjustRightInd w:val="0"/>
        <w:snapToGrid w:val="0"/>
        <w:spacing w:line="600" w:lineRule="exact"/>
        <w:jc w:val="both"/>
        <w:rPr>
          <w:rFonts w:hint="default" w:ascii="Times New Roman" w:hAnsi="Times New Roman" w:eastAsia="黑体" w:cs="Times New Roman"/>
          <w:kern w:val="21"/>
          <w:sz w:val="32"/>
          <w:szCs w:val="32"/>
        </w:rPr>
      </w:pPr>
    </w:p>
    <w:p w14:paraId="6BA1C18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7CC25BB"/>
    <w:rsid w:val="09B86E7F"/>
    <w:rsid w:val="57CC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FangSong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 文字 + 首行缩进:  2 字符3"/>
    <w:basedOn w:val="1"/>
    <w:qFormat/>
    <w:uiPriority w:val="0"/>
    <w:pPr>
      <w:spacing w:line="360" w:lineRule="auto"/>
      <w:jc w:val="left"/>
    </w:pPr>
    <w:rPr>
      <w:sz w:val="28"/>
      <w:szCs w:val="28"/>
    </w:rPr>
  </w:style>
  <w:style w:type="character" w:customStyle="1" w:styleId="5">
    <w:name w:val="font16"/>
    <w:uiPriority w:val="0"/>
    <w:rPr>
      <w:rFonts w:hint="eastAsia" w:ascii="FangSong_GB2312" w:hAnsi="Times New Roman" w:eastAsia="FangSong_GB2312" w:cs="FangSong_GB2312"/>
      <w:color w:val="000000"/>
      <w:sz w:val="20"/>
      <w:szCs w:val="20"/>
      <w:u w:val="none"/>
    </w:rPr>
  </w:style>
  <w:style w:type="character" w:customStyle="1" w:styleId="6">
    <w:name w:val="font101"/>
    <w:uiPriority w:val="0"/>
    <w:rPr>
      <w:rFonts w:hint="default" w:ascii="Times New Roman" w:hAnsi="Times New Roman" w:eastAsia="宋体"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2026-07-02T03:43:00Z</dcterms:created>
  <dc:creator>杨祖德</dc:creator>
  <cp:lastModifiedBy>杨祖德</cp:lastModifiedBy>
  <dcterms:modified xsi:type="dcterms:W3CDTF">2026-07-02T03:43:54Z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5111A8BE36284F1C88FA8AC4399DF652_11</vt:lpwstr>
  </property>
</Properties>
</file>