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257D7">
      <w:pPr>
        <w:pStyle w:val="5"/>
        <w:adjustRightInd w:val="0"/>
        <w:snapToGrid w:val="0"/>
        <w:spacing w:line="600" w:lineRule="exact"/>
        <w:jc w:val="both"/>
        <w:rPr>
          <w:rFonts w:ascii="Times New Roman" w:hAnsi="Times New Roman" w:eastAsia="黑体"/>
          <w:kern w:val="21"/>
          <w:sz w:val="32"/>
          <w:szCs w:val="32"/>
        </w:rPr>
      </w:pPr>
      <w:r>
        <w:rPr>
          <w:rFonts w:ascii="Times New Roman" w:hAnsi="Times New Roman" w:eastAsia="黑体"/>
          <w:kern w:val="21"/>
          <w:sz w:val="32"/>
          <w:szCs w:val="32"/>
        </w:rPr>
        <w:t>附件1</w:t>
      </w:r>
    </w:p>
    <w:p w14:paraId="07835A5F">
      <w:pPr>
        <w:pStyle w:val="5"/>
        <w:adjustRightInd w:val="0"/>
        <w:snapToGrid w:val="0"/>
        <w:spacing w:line="600" w:lineRule="exact"/>
        <w:jc w:val="center"/>
        <w:rPr>
          <w:rFonts w:ascii="Times New Roman" w:hAnsi="Times New Roman" w:eastAsia="方正小标宋简体"/>
          <w:color w:val="000000"/>
          <w:kern w:val="0"/>
          <w:sz w:val="40"/>
          <w:szCs w:val="40"/>
          <w:lang w:bidi="ar"/>
        </w:rPr>
      </w:pPr>
      <w:bookmarkStart w:id="0" w:name="_GoBack"/>
      <w:r>
        <w:rPr>
          <w:rFonts w:ascii="Times New Roman" w:hAnsi="Times New Roman" w:eastAsia="方正小标宋简体"/>
          <w:color w:val="000000"/>
          <w:kern w:val="0"/>
          <w:sz w:val="40"/>
          <w:szCs w:val="40"/>
          <w:lang w:bidi="ar"/>
        </w:rPr>
        <w:t>节能减排补助资金（新能源汽车推广应用补助资金）转移支付湖南省绩效自评表</w:t>
      </w:r>
    </w:p>
    <w:bookmarkEnd w:id="0"/>
    <w:p w14:paraId="72F4CA14">
      <w:pPr>
        <w:pStyle w:val="5"/>
        <w:adjustRightInd w:val="0"/>
        <w:snapToGrid w:val="0"/>
        <w:spacing w:line="600" w:lineRule="exact"/>
        <w:jc w:val="center"/>
        <w:rPr>
          <w:rFonts w:ascii="Times New Roman" w:hAnsi="Times New Roman" w:eastAsia="楷体"/>
          <w:kern w:val="21"/>
          <w:sz w:val="32"/>
          <w:szCs w:val="32"/>
        </w:rPr>
      </w:pPr>
      <w:r>
        <w:rPr>
          <w:rFonts w:ascii="Times New Roman" w:hAnsi="Times New Roman" w:eastAsia="楷体"/>
          <w:color w:val="000000"/>
          <w:kern w:val="0"/>
          <w:sz w:val="32"/>
          <w:szCs w:val="32"/>
          <w:lang w:bidi="ar"/>
        </w:rPr>
        <w:t>（2024年度）</w:t>
      </w:r>
    </w:p>
    <w:tbl>
      <w:tblPr>
        <w:tblStyle w:val="3"/>
        <w:tblW w:w="15590" w:type="dxa"/>
        <w:jc w:val="center"/>
        <w:tblLayout w:type="autofit"/>
        <w:tblCellMar>
          <w:top w:w="0" w:type="dxa"/>
          <w:left w:w="108" w:type="dxa"/>
          <w:bottom w:w="0" w:type="dxa"/>
          <w:right w:w="108" w:type="dxa"/>
        </w:tblCellMar>
      </w:tblPr>
      <w:tblGrid>
        <w:gridCol w:w="733"/>
        <w:gridCol w:w="805"/>
        <w:gridCol w:w="940"/>
        <w:gridCol w:w="2419"/>
        <w:gridCol w:w="4339"/>
        <w:gridCol w:w="4100"/>
        <w:gridCol w:w="2254"/>
      </w:tblGrid>
      <w:tr w14:paraId="3CFF9DC3">
        <w:tblPrEx>
          <w:tblCellMar>
            <w:top w:w="0" w:type="dxa"/>
            <w:left w:w="108" w:type="dxa"/>
            <w:bottom w:w="0" w:type="dxa"/>
            <w:right w:w="108" w:type="dxa"/>
          </w:tblCellMar>
        </w:tblPrEx>
        <w:trPr>
          <w:trHeight w:val="240"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noWrap w:val="0"/>
            <w:vAlign w:val="center"/>
          </w:tcPr>
          <w:p w14:paraId="2D6C640F">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转移支付（项目）名称</w:t>
            </w:r>
          </w:p>
        </w:tc>
        <w:tc>
          <w:tcPr>
            <w:tcW w:w="13112" w:type="dxa"/>
            <w:gridSpan w:val="4"/>
            <w:tcBorders>
              <w:top w:val="single" w:color="000000" w:sz="4" w:space="0"/>
              <w:left w:val="single" w:color="000000" w:sz="4" w:space="0"/>
              <w:bottom w:val="single" w:color="000000" w:sz="4" w:space="0"/>
              <w:right w:val="single" w:color="000000" w:sz="4" w:space="0"/>
            </w:tcBorders>
            <w:noWrap w:val="0"/>
            <w:vAlign w:val="center"/>
          </w:tcPr>
          <w:p w14:paraId="70E8FC6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2024年节能减排补助资金（新能源汽车推广应用补助资金）</w:t>
            </w:r>
          </w:p>
        </w:tc>
      </w:tr>
      <w:tr w14:paraId="155151A1">
        <w:tblPrEx>
          <w:tblCellMar>
            <w:top w:w="0" w:type="dxa"/>
            <w:left w:w="108" w:type="dxa"/>
            <w:bottom w:w="0" w:type="dxa"/>
            <w:right w:w="108" w:type="dxa"/>
          </w:tblCellMar>
        </w:tblPrEx>
        <w:trPr>
          <w:trHeight w:val="240"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noWrap w:val="0"/>
            <w:vAlign w:val="center"/>
          </w:tcPr>
          <w:p w14:paraId="2189B412">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中央主管部门</w:t>
            </w:r>
          </w:p>
        </w:tc>
        <w:tc>
          <w:tcPr>
            <w:tcW w:w="13112" w:type="dxa"/>
            <w:gridSpan w:val="4"/>
            <w:tcBorders>
              <w:top w:val="single" w:color="000000" w:sz="4" w:space="0"/>
              <w:left w:val="single" w:color="000000" w:sz="4" w:space="0"/>
              <w:bottom w:val="single" w:color="000000" w:sz="4" w:space="0"/>
              <w:right w:val="single" w:color="000000" w:sz="4" w:space="0"/>
            </w:tcBorders>
            <w:noWrap w:val="0"/>
            <w:vAlign w:val="center"/>
          </w:tcPr>
          <w:p w14:paraId="2335C161">
            <w:pPr>
              <w:spacing w:line="300" w:lineRule="exact"/>
              <w:jc w:val="center"/>
              <w:rPr>
                <w:rFonts w:hint="eastAsia" w:ascii="Times New Roman" w:hAnsi="Times New Roman" w:eastAsia="仿宋"/>
                <w:color w:val="000000"/>
                <w:sz w:val="20"/>
                <w:szCs w:val="20"/>
              </w:rPr>
            </w:pPr>
            <w:r>
              <w:rPr>
                <w:rFonts w:hint="eastAsia" w:ascii="Times New Roman" w:hAnsi="Times New Roman" w:eastAsia="仿宋"/>
                <w:color w:val="000000"/>
                <w:kern w:val="0"/>
                <w:sz w:val="20"/>
                <w:szCs w:val="20"/>
                <w:lang w:bidi="ar"/>
              </w:rPr>
              <w:t>财政部、</w:t>
            </w:r>
            <w:r>
              <w:rPr>
                <w:rFonts w:ascii="Times New Roman" w:hAnsi="Times New Roman" w:eastAsia="仿宋"/>
                <w:color w:val="000000"/>
                <w:kern w:val="0"/>
                <w:sz w:val="20"/>
                <w:szCs w:val="20"/>
                <w:lang w:bidi="ar"/>
              </w:rPr>
              <w:t>工业和信息化部</w:t>
            </w:r>
            <w:r>
              <w:rPr>
                <w:rFonts w:hint="eastAsia" w:ascii="Times New Roman" w:hAnsi="Times New Roman" w:eastAsia="仿宋"/>
                <w:color w:val="000000"/>
                <w:kern w:val="0"/>
                <w:sz w:val="20"/>
                <w:szCs w:val="20"/>
                <w:lang w:bidi="ar"/>
              </w:rPr>
              <w:t>、科学技术部、国家发改委</w:t>
            </w:r>
          </w:p>
        </w:tc>
      </w:tr>
      <w:tr w14:paraId="45C57E4E">
        <w:tblPrEx>
          <w:tblCellMar>
            <w:top w:w="0" w:type="dxa"/>
            <w:left w:w="108" w:type="dxa"/>
            <w:bottom w:w="0" w:type="dxa"/>
            <w:right w:w="108" w:type="dxa"/>
          </w:tblCellMar>
        </w:tblPrEx>
        <w:trPr>
          <w:trHeight w:val="240" w:hRule="atLeast"/>
          <w:jc w:val="center"/>
        </w:trPr>
        <w:tc>
          <w:tcPr>
            <w:tcW w:w="2478" w:type="dxa"/>
            <w:gridSpan w:val="3"/>
            <w:tcBorders>
              <w:top w:val="single" w:color="000000" w:sz="4" w:space="0"/>
              <w:left w:val="single" w:color="000000" w:sz="4" w:space="0"/>
              <w:bottom w:val="single" w:color="000000" w:sz="4" w:space="0"/>
              <w:right w:val="single" w:color="000000" w:sz="4" w:space="0"/>
            </w:tcBorders>
            <w:noWrap w:val="0"/>
            <w:vAlign w:val="center"/>
          </w:tcPr>
          <w:p w14:paraId="1B4376C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省级财政部门</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64808FD">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湖南省财政厅</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747B5450">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省级主管部门</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1A8D495D">
            <w:pPr>
              <w:spacing w:line="300" w:lineRule="exact"/>
              <w:jc w:val="center"/>
              <w:rPr>
                <w:rFonts w:hint="eastAsia" w:ascii="Times New Roman" w:hAnsi="Times New Roman" w:eastAsia="仿宋"/>
                <w:color w:val="000000"/>
                <w:sz w:val="20"/>
                <w:szCs w:val="20"/>
              </w:rPr>
            </w:pPr>
            <w:r>
              <w:rPr>
                <w:rFonts w:ascii="Times New Roman" w:hAnsi="Times New Roman" w:eastAsia="仿宋"/>
                <w:color w:val="000000"/>
                <w:kern w:val="0"/>
                <w:sz w:val="20"/>
                <w:szCs w:val="20"/>
                <w:lang w:bidi="ar"/>
              </w:rPr>
              <w:t>湖南省工业和信息化厅</w:t>
            </w:r>
            <w:r>
              <w:rPr>
                <w:rFonts w:hint="eastAsia" w:ascii="Times New Roman" w:hAnsi="Times New Roman" w:eastAsia="仿宋"/>
                <w:color w:val="000000"/>
                <w:kern w:val="0"/>
                <w:sz w:val="20"/>
                <w:szCs w:val="20"/>
                <w:lang w:bidi="ar"/>
              </w:rPr>
              <w:t>、湖南省科学技术厅、湖南省发展和改革委员会</w:t>
            </w:r>
          </w:p>
        </w:tc>
      </w:tr>
      <w:tr w14:paraId="5DC0CDBA">
        <w:tblPrEx>
          <w:tblCellMar>
            <w:top w:w="0" w:type="dxa"/>
            <w:left w:w="108" w:type="dxa"/>
            <w:bottom w:w="0" w:type="dxa"/>
            <w:right w:w="108" w:type="dxa"/>
          </w:tblCellMar>
        </w:tblPrEx>
        <w:trPr>
          <w:trHeight w:val="240" w:hRule="atLeast"/>
          <w:jc w:val="center"/>
        </w:trPr>
        <w:tc>
          <w:tcPr>
            <w:tcW w:w="247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4576DD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项目资金（万元）</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A1CE431">
            <w:pPr>
              <w:spacing w:line="300" w:lineRule="exact"/>
              <w:jc w:val="center"/>
              <w:rPr>
                <w:rFonts w:ascii="Times New Roman" w:hAnsi="Times New Roman" w:eastAsia="仿宋"/>
                <w:color w:val="000000"/>
                <w:sz w:val="20"/>
                <w:szCs w:val="20"/>
              </w:rPr>
            </w:pP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5E30CDE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全年预算数（A）</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747D50C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全年执行数（B）</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54EE9409">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预算执行率</w:t>
            </w:r>
          </w:p>
          <w:p w14:paraId="4C68BCC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（B/A</w:t>
            </w:r>
            <w:r>
              <w:rPr>
                <w:rStyle w:val="6"/>
                <w:rFonts w:ascii="Times New Roman" w:hAnsi="Times New Roman" w:eastAsia="仿宋" w:cs="Times New Roman"/>
                <w:lang w:bidi="ar"/>
              </w:rPr>
              <w:t>×</w:t>
            </w:r>
            <w:r>
              <w:rPr>
                <w:rFonts w:ascii="Times New Roman" w:hAnsi="Times New Roman" w:eastAsia="仿宋"/>
                <w:color w:val="000000"/>
                <w:kern w:val="0"/>
                <w:sz w:val="20"/>
                <w:szCs w:val="20"/>
                <w:lang w:bidi="ar"/>
              </w:rPr>
              <w:t>100%）</w:t>
            </w:r>
          </w:p>
        </w:tc>
      </w:tr>
      <w:tr w14:paraId="6961E1E0">
        <w:tblPrEx>
          <w:tblCellMar>
            <w:top w:w="0" w:type="dxa"/>
            <w:left w:w="108" w:type="dxa"/>
            <w:bottom w:w="0" w:type="dxa"/>
            <w:right w:w="108" w:type="dxa"/>
          </w:tblCellMar>
        </w:tblPrEx>
        <w:trPr>
          <w:trHeight w:val="24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4D772E9">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04105F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年度资金总额：</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75F56D4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401,764</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67D203D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401,764</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E16DE58">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r>
      <w:tr w14:paraId="061D0AC5">
        <w:tblPrEx>
          <w:tblCellMar>
            <w:top w:w="0" w:type="dxa"/>
            <w:left w:w="108" w:type="dxa"/>
            <w:bottom w:w="0" w:type="dxa"/>
            <w:right w:w="108" w:type="dxa"/>
          </w:tblCellMar>
        </w:tblPrEx>
        <w:trPr>
          <w:trHeight w:val="24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9E16929">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D31577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其中：中央补助</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3FCED93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401,764</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478F4D4B">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401,764</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32F382E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r>
      <w:tr w14:paraId="4504DCE4">
        <w:tblPrEx>
          <w:tblCellMar>
            <w:top w:w="0" w:type="dxa"/>
            <w:left w:w="108" w:type="dxa"/>
            <w:bottom w:w="0" w:type="dxa"/>
            <w:right w:w="108" w:type="dxa"/>
          </w:tblCellMar>
        </w:tblPrEx>
        <w:trPr>
          <w:trHeight w:val="24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750C579">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2645970">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地方资金</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58F09A85">
            <w:pPr>
              <w:spacing w:line="300" w:lineRule="exact"/>
              <w:jc w:val="center"/>
              <w:rPr>
                <w:rFonts w:ascii="Times New Roman" w:hAnsi="Times New Roman" w:eastAsia="仿宋"/>
                <w:color w:val="000000"/>
                <w:sz w:val="20"/>
                <w:szCs w:val="20"/>
              </w:rPr>
            </w:pP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04B29818">
            <w:pPr>
              <w:spacing w:line="300" w:lineRule="exact"/>
              <w:jc w:val="center"/>
              <w:rPr>
                <w:rFonts w:ascii="Times New Roman" w:hAnsi="Times New Roman" w:eastAsia="仿宋"/>
                <w:color w:val="000000"/>
                <w:sz w:val="20"/>
                <w:szCs w:val="20"/>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D968475">
            <w:pPr>
              <w:spacing w:line="300" w:lineRule="exact"/>
              <w:jc w:val="center"/>
              <w:rPr>
                <w:rFonts w:ascii="Times New Roman" w:hAnsi="Times New Roman" w:eastAsia="仿宋"/>
                <w:color w:val="000000"/>
                <w:sz w:val="20"/>
                <w:szCs w:val="20"/>
              </w:rPr>
            </w:pPr>
          </w:p>
        </w:tc>
      </w:tr>
      <w:tr w14:paraId="2C5F634D">
        <w:tblPrEx>
          <w:tblCellMar>
            <w:top w:w="0" w:type="dxa"/>
            <w:left w:w="108" w:type="dxa"/>
            <w:bottom w:w="0" w:type="dxa"/>
            <w:right w:w="108" w:type="dxa"/>
          </w:tblCellMar>
        </w:tblPrEx>
        <w:trPr>
          <w:trHeight w:val="24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C1A7E31">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86F217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其他资金</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2F5BFBBB">
            <w:pPr>
              <w:spacing w:line="300" w:lineRule="exact"/>
              <w:jc w:val="center"/>
              <w:rPr>
                <w:rFonts w:ascii="Times New Roman" w:hAnsi="Times New Roman" w:eastAsia="仿宋"/>
                <w:color w:val="000000"/>
                <w:sz w:val="20"/>
                <w:szCs w:val="20"/>
              </w:rPr>
            </w:pP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2229F6A8">
            <w:pPr>
              <w:spacing w:line="300" w:lineRule="exact"/>
              <w:jc w:val="center"/>
              <w:rPr>
                <w:rFonts w:ascii="Times New Roman" w:hAnsi="Times New Roman" w:eastAsia="仿宋"/>
                <w:color w:val="000000"/>
                <w:sz w:val="20"/>
                <w:szCs w:val="20"/>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DC39758">
            <w:pPr>
              <w:spacing w:line="300" w:lineRule="exact"/>
              <w:jc w:val="center"/>
              <w:rPr>
                <w:rFonts w:ascii="Times New Roman" w:hAnsi="Times New Roman" w:eastAsia="仿宋"/>
                <w:color w:val="000000"/>
                <w:sz w:val="20"/>
                <w:szCs w:val="20"/>
              </w:rPr>
            </w:pPr>
          </w:p>
        </w:tc>
      </w:tr>
      <w:tr w14:paraId="179C3B25">
        <w:tblPrEx>
          <w:tblCellMar>
            <w:top w:w="0" w:type="dxa"/>
            <w:left w:w="108" w:type="dxa"/>
            <w:bottom w:w="0" w:type="dxa"/>
            <w:right w:w="108" w:type="dxa"/>
          </w:tblCellMar>
        </w:tblPrEx>
        <w:trPr>
          <w:trHeight w:val="240" w:hRule="atLeast"/>
          <w:jc w:val="center"/>
        </w:trPr>
        <w:tc>
          <w:tcPr>
            <w:tcW w:w="247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E75E721">
            <w:pPr>
              <w:spacing w:line="300" w:lineRule="exact"/>
              <w:jc w:val="center"/>
              <w:rPr>
                <w:rFonts w:ascii="Times New Roman" w:hAnsi="Times New Roman" w:eastAsia="仿宋"/>
                <w:color w:val="000000"/>
                <w:kern w:val="0"/>
                <w:sz w:val="20"/>
                <w:szCs w:val="20"/>
                <w:lang w:bidi="ar"/>
              </w:rPr>
            </w:pPr>
          </w:p>
          <w:p w14:paraId="2DA777AF">
            <w:pPr>
              <w:spacing w:line="300" w:lineRule="exact"/>
              <w:jc w:val="center"/>
              <w:rPr>
                <w:rFonts w:ascii="Times New Roman" w:hAnsi="Times New Roman" w:eastAsia="仿宋"/>
                <w:color w:val="000000"/>
                <w:kern w:val="0"/>
                <w:sz w:val="20"/>
                <w:szCs w:val="20"/>
                <w:lang w:bidi="ar"/>
              </w:rPr>
            </w:pPr>
          </w:p>
          <w:p w14:paraId="58657147">
            <w:pPr>
              <w:spacing w:line="300" w:lineRule="exact"/>
              <w:jc w:val="center"/>
              <w:rPr>
                <w:rFonts w:ascii="Times New Roman" w:hAnsi="Times New Roman" w:eastAsia="仿宋"/>
                <w:color w:val="000000"/>
                <w:kern w:val="0"/>
                <w:sz w:val="20"/>
                <w:szCs w:val="20"/>
                <w:lang w:bidi="ar"/>
              </w:rPr>
            </w:pPr>
          </w:p>
          <w:p w14:paraId="25619835">
            <w:pPr>
              <w:spacing w:line="300" w:lineRule="exact"/>
              <w:jc w:val="center"/>
              <w:rPr>
                <w:rFonts w:ascii="Times New Roman" w:hAnsi="Times New Roman" w:eastAsia="仿宋"/>
                <w:color w:val="000000"/>
                <w:kern w:val="0"/>
                <w:sz w:val="20"/>
                <w:szCs w:val="20"/>
                <w:lang w:bidi="ar"/>
              </w:rPr>
            </w:pPr>
          </w:p>
          <w:p w14:paraId="10FB0A50">
            <w:pPr>
              <w:spacing w:line="300" w:lineRule="exact"/>
              <w:jc w:val="center"/>
              <w:rPr>
                <w:rFonts w:ascii="Times New Roman" w:hAnsi="Times New Roman" w:eastAsia="仿宋"/>
                <w:color w:val="000000"/>
                <w:kern w:val="0"/>
                <w:sz w:val="20"/>
                <w:szCs w:val="20"/>
                <w:lang w:bidi="ar"/>
              </w:rPr>
            </w:pPr>
          </w:p>
          <w:p w14:paraId="62145C9C">
            <w:pPr>
              <w:spacing w:line="300" w:lineRule="exact"/>
              <w:jc w:val="center"/>
              <w:rPr>
                <w:rFonts w:ascii="Times New Roman" w:hAnsi="Times New Roman" w:eastAsia="仿宋"/>
                <w:color w:val="000000"/>
                <w:kern w:val="0"/>
                <w:sz w:val="20"/>
                <w:szCs w:val="20"/>
                <w:lang w:bidi="ar"/>
              </w:rPr>
            </w:pPr>
          </w:p>
          <w:p w14:paraId="64228775">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资金管理情况</w:t>
            </w:r>
          </w:p>
          <w:p w14:paraId="49257513">
            <w:pPr>
              <w:spacing w:line="300" w:lineRule="exact"/>
              <w:jc w:val="center"/>
              <w:rPr>
                <w:rFonts w:ascii="Times New Roman" w:hAnsi="Times New Roman" w:eastAsia="仿宋"/>
                <w:color w:val="000000"/>
                <w:kern w:val="0"/>
                <w:sz w:val="20"/>
                <w:szCs w:val="20"/>
                <w:lang w:bidi="ar"/>
              </w:rPr>
            </w:pPr>
          </w:p>
          <w:p w14:paraId="095C7EB1">
            <w:pPr>
              <w:spacing w:line="300" w:lineRule="exact"/>
              <w:jc w:val="center"/>
              <w:rPr>
                <w:rFonts w:ascii="Times New Roman" w:hAnsi="Times New Roman" w:eastAsia="仿宋"/>
                <w:color w:val="000000"/>
                <w:kern w:val="0"/>
                <w:sz w:val="20"/>
                <w:szCs w:val="20"/>
                <w:lang w:bidi="ar"/>
              </w:rPr>
            </w:pPr>
          </w:p>
          <w:p w14:paraId="2C0218BE">
            <w:pPr>
              <w:spacing w:line="300" w:lineRule="exact"/>
              <w:jc w:val="center"/>
              <w:rPr>
                <w:rFonts w:ascii="Times New Roman" w:hAnsi="Times New Roman" w:eastAsia="仿宋"/>
                <w:color w:val="000000"/>
                <w:kern w:val="0"/>
                <w:sz w:val="20"/>
                <w:szCs w:val="20"/>
                <w:lang w:bidi="ar"/>
              </w:rPr>
            </w:pPr>
          </w:p>
          <w:p w14:paraId="509A770B">
            <w:pPr>
              <w:spacing w:line="300" w:lineRule="exact"/>
              <w:jc w:val="center"/>
              <w:rPr>
                <w:rFonts w:ascii="Times New Roman" w:hAnsi="Times New Roman" w:eastAsia="仿宋"/>
                <w:color w:val="000000"/>
                <w:kern w:val="0"/>
                <w:sz w:val="20"/>
                <w:szCs w:val="20"/>
                <w:lang w:bidi="ar"/>
              </w:rPr>
            </w:pPr>
          </w:p>
          <w:p w14:paraId="5EC00372">
            <w:pPr>
              <w:spacing w:line="300" w:lineRule="exact"/>
              <w:jc w:val="center"/>
              <w:rPr>
                <w:rFonts w:ascii="Times New Roman" w:hAnsi="Times New Roman" w:eastAsia="仿宋"/>
                <w:color w:val="000000"/>
                <w:kern w:val="0"/>
                <w:sz w:val="20"/>
                <w:szCs w:val="20"/>
                <w:lang w:bidi="ar"/>
              </w:rPr>
            </w:pPr>
          </w:p>
          <w:p w14:paraId="4904E700">
            <w:pPr>
              <w:spacing w:line="300" w:lineRule="exact"/>
              <w:jc w:val="center"/>
              <w:rPr>
                <w:rFonts w:ascii="Times New Roman" w:hAnsi="Times New Roman" w:eastAsia="仿宋"/>
                <w:color w:val="000000"/>
                <w:kern w:val="0"/>
                <w:sz w:val="20"/>
                <w:szCs w:val="20"/>
                <w:lang w:bidi="ar"/>
              </w:rPr>
            </w:pPr>
          </w:p>
          <w:p w14:paraId="55081E66">
            <w:pPr>
              <w:spacing w:line="300" w:lineRule="exact"/>
              <w:jc w:val="center"/>
              <w:rPr>
                <w:rFonts w:ascii="Times New Roman" w:hAnsi="Times New Roman" w:eastAsia="仿宋"/>
                <w:color w:val="000000"/>
                <w:kern w:val="0"/>
                <w:sz w:val="20"/>
                <w:szCs w:val="20"/>
                <w:lang w:bidi="ar"/>
              </w:rPr>
            </w:pPr>
          </w:p>
          <w:p w14:paraId="45CDB0D9">
            <w:pPr>
              <w:spacing w:line="300" w:lineRule="exact"/>
              <w:jc w:val="center"/>
              <w:rPr>
                <w:rFonts w:ascii="Times New Roman" w:hAnsi="Times New Roman" w:eastAsia="仿宋"/>
                <w:color w:val="000000"/>
                <w:kern w:val="0"/>
                <w:sz w:val="20"/>
                <w:szCs w:val="20"/>
                <w:lang w:bidi="ar"/>
              </w:rPr>
            </w:pPr>
          </w:p>
          <w:p w14:paraId="0AE9B6F1">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资金管理情况</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07C8A45C">
            <w:pPr>
              <w:spacing w:line="300" w:lineRule="exact"/>
              <w:jc w:val="center"/>
              <w:rPr>
                <w:rFonts w:ascii="Times New Roman" w:hAnsi="Times New Roman" w:eastAsia="仿宋"/>
                <w:color w:val="000000"/>
                <w:sz w:val="20"/>
                <w:szCs w:val="20"/>
              </w:rPr>
            </w:pP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52D58A0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情况说明</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22731A0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存在问题和改进措施</w:t>
            </w:r>
          </w:p>
        </w:tc>
      </w:tr>
      <w:tr w14:paraId="12CD8685">
        <w:tblPrEx>
          <w:tblCellMar>
            <w:top w:w="0" w:type="dxa"/>
            <w:left w:w="108" w:type="dxa"/>
            <w:bottom w:w="0" w:type="dxa"/>
            <w:right w:w="108" w:type="dxa"/>
          </w:tblCellMar>
        </w:tblPrEx>
        <w:trPr>
          <w:trHeight w:val="45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2C39F61">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C118459">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分配科学性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45947894">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严格按照转移支付管理制度以及资金办法规定的范围和标准分配资金。</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331F5854">
            <w:pPr>
              <w:spacing w:line="300" w:lineRule="exact"/>
              <w:jc w:val="left"/>
              <w:rPr>
                <w:rFonts w:ascii="Times New Roman" w:hAnsi="Times New Roman" w:eastAsia="仿宋"/>
                <w:color w:val="000000"/>
                <w:sz w:val="20"/>
                <w:szCs w:val="20"/>
              </w:rPr>
            </w:pPr>
          </w:p>
        </w:tc>
      </w:tr>
      <w:tr w14:paraId="65F7AA51">
        <w:tblPrEx>
          <w:tblCellMar>
            <w:top w:w="0" w:type="dxa"/>
            <w:left w:w="108" w:type="dxa"/>
            <w:bottom w:w="0" w:type="dxa"/>
            <w:right w:w="108" w:type="dxa"/>
          </w:tblCellMar>
        </w:tblPrEx>
        <w:trPr>
          <w:trHeight w:val="104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94F56B6">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2D1FC7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下达及时性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28BA9159">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严格按照预算法及其实施条例、转移支付管理制度规定以及资金管理办法规定的时限要求分解下达。</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03F83D98">
            <w:pPr>
              <w:spacing w:line="300" w:lineRule="exact"/>
              <w:jc w:val="left"/>
              <w:rPr>
                <w:rFonts w:ascii="Times New Roman" w:hAnsi="Times New Roman" w:eastAsia="仿宋"/>
                <w:color w:val="000000"/>
                <w:sz w:val="20"/>
                <w:szCs w:val="20"/>
              </w:rPr>
            </w:pPr>
          </w:p>
        </w:tc>
      </w:tr>
      <w:tr w14:paraId="1B19A051">
        <w:tblPrEx>
          <w:tblCellMar>
            <w:top w:w="0" w:type="dxa"/>
            <w:left w:w="108" w:type="dxa"/>
            <w:bottom w:w="0" w:type="dxa"/>
            <w:right w:w="108" w:type="dxa"/>
          </w:tblCellMar>
        </w:tblPrEx>
        <w:trPr>
          <w:trHeight w:val="90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55B02D9">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6036F19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拨付合规性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70D73610">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严格按照国库集中支付制度有关规定支付资金，未出现违规将资金从国库转入财政专户或支付到预算单位实有资金账户等问题。省工信厅按照项目相关要求分阶段完成资金拨付工作。</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76A9FA15">
            <w:pPr>
              <w:spacing w:line="300" w:lineRule="exact"/>
              <w:jc w:val="left"/>
              <w:rPr>
                <w:rFonts w:ascii="Times New Roman" w:hAnsi="Times New Roman" w:eastAsia="仿宋"/>
                <w:color w:val="000000"/>
                <w:sz w:val="20"/>
                <w:szCs w:val="20"/>
              </w:rPr>
            </w:pPr>
          </w:p>
        </w:tc>
      </w:tr>
      <w:tr w14:paraId="60515E09">
        <w:tblPrEx>
          <w:tblCellMar>
            <w:top w:w="0" w:type="dxa"/>
            <w:left w:w="108" w:type="dxa"/>
            <w:bottom w:w="0" w:type="dxa"/>
            <w:right w:w="108" w:type="dxa"/>
          </w:tblCellMar>
        </w:tblPrEx>
        <w:trPr>
          <w:trHeight w:val="80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84CF793">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43C009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使用规范性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37921A36">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严格按照下达预算的科目和项目执行，未出现截留、挤占、挪用、或擅自调整等问题。</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1951D871">
            <w:pPr>
              <w:spacing w:line="300" w:lineRule="exact"/>
              <w:jc w:val="left"/>
              <w:rPr>
                <w:rFonts w:ascii="Times New Roman" w:hAnsi="Times New Roman" w:eastAsia="仿宋"/>
                <w:color w:val="000000"/>
                <w:sz w:val="20"/>
                <w:szCs w:val="20"/>
              </w:rPr>
            </w:pPr>
          </w:p>
        </w:tc>
      </w:tr>
      <w:tr w14:paraId="63610F02">
        <w:tblPrEx>
          <w:tblCellMar>
            <w:top w:w="0" w:type="dxa"/>
            <w:left w:w="108" w:type="dxa"/>
            <w:bottom w:w="0" w:type="dxa"/>
            <w:right w:w="108" w:type="dxa"/>
          </w:tblCellMar>
        </w:tblPrEx>
        <w:trPr>
          <w:trHeight w:val="45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687E765">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7E3DC1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执行准确性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39DB6DC8">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按照上级下达和本级预算安排的金额执行，不存在执行数值偏离预算数较多的问题。</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6191CCD9">
            <w:pPr>
              <w:spacing w:line="300" w:lineRule="exact"/>
              <w:jc w:val="left"/>
              <w:rPr>
                <w:rFonts w:ascii="Times New Roman" w:hAnsi="Times New Roman" w:eastAsia="仿宋"/>
                <w:color w:val="000000"/>
                <w:sz w:val="20"/>
                <w:szCs w:val="20"/>
              </w:rPr>
            </w:pPr>
          </w:p>
        </w:tc>
      </w:tr>
      <w:tr w14:paraId="0B8BE648">
        <w:tblPrEx>
          <w:tblCellMar>
            <w:top w:w="0" w:type="dxa"/>
            <w:left w:w="108" w:type="dxa"/>
            <w:bottom w:w="0" w:type="dxa"/>
            <w:right w:w="108" w:type="dxa"/>
          </w:tblCellMar>
        </w:tblPrEx>
        <w:trPr>
          <w:trHeight w:val="675"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A95E30">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F44908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预算绩效管理情况</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3C2B451A">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在细化下达预算时同步下达绩效目标，将有关资金纳入本级预算或对下转移支付绩效管理，开展绩效监控和绩效评价。</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7B1298A5">
            <w:pPr>
              <w:spacing w:line="300" w:lineRule="exact"/>
              <w:jc w:val="left"/>
              <w:rPr>
                <w:rFonts w:ascii="Times New Roman" w:hAnsi="Times New Roman" w:eastAsia="仿宋"/>
                <w:color w:val="000000"/>
                <w:sz w:val="20"/>
                <w:szCs w:val="20"/>
              </w:rPr>
            </w:pPr>
          </w:p>
        </w:tc>
      </w:tr>
      <w:tr w14:paraId="28D37231">
        <w:tblPrEx>
          <w:tblCellMar>
            <w:top w:w="0" w:type="dxa"/>
            <w:left w:w="108" w:type="dxa"/>
            <w:bottom w:w="0" w:type="dxa"/>
            <w:right w:w="108" w:type="dxa"/>
          </w:tblCellMar>
        </w:tblPrEx>
        <w:trPr>
          <w:trHeight w:val="450" w:hRule="atLeast"/>
          <w:jc w:val="center"/>
        </w:trPr>
        <w:tc>
          <w:tcPr>
            <w:tcW w:w="247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8566449">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9FFD54B">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支出责任履行情况</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3518B846">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能够按照财政事权和支出责任划分有关规定，足额安排资金履行本级支出责任。</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5ACC7078">
            <w:pPr>
              <w:spacing w:line="300" w:lineRule="exact"/>
              <w:jc w:val="left"/>
              <w:rPr>
                <w:rFonts w:ascii="Times New Roman" w:hAnsi="Times New Roman" w:eastAsia="仿宋"/>
                <w:color w:val="000000"/>
                <w:sz w:val="20"/>
                <w:szCs w:val="20"/>
              </w:rPr>
            </w:pPr>
          </w:p>
        </w:tc>
      </w:tr>
      <w:tr w14:paraId="329A00EA">
        <w:tblPrEx>
          <w:tblCellMar>
            <w:top w:w="0" w:type="dxa"/>
            <w:left w:w="108" w:type="dxa"/>
            <w:bottom w:w="0" w:type="dxa"/>
            <w:right w:w="108" w:type="dxa"/>
          </w:tblCellMar>
        </w:tblPrEx>
        <w:trPr>
          <w:trHeight w:val="440"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7818E">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年度总体目标</w:t>
            </w:r>
          </w:p>
        </w:tc>
        <w:tc>
          <w:tcPr>
            <w:tcW w:w="8503" w:type="dxa"/>
            <w:gridSpan w:val="4"/>
            <w:tcBorders>
              <w:top w:val="single" w:color="000000" w:sz="4" w:space="0"/>
              <w:left w:val="single" w:color="000000" w:sz="4" w:space="0"/>
              <w:bottom w:val="single" w:color="000000" w:sz="4" w:space="0"/>
              <w:right w:val="single" w:color="000000" w:sz="4" w:space="0"/>
            </w:tcBorders>
            <w:noWrap w:val="0"/>
            <w:vAlign w:val="center"/>
          </w:tcPr>
          <w:p w14:paraId="05C0EB2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总体目标</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66EA04A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全年实际完成情况</w:t>
            </w:r>
          </w:p>
        </w:tc>
      </w:tr>
      <w:tr w14:paraId="1A6C6E5A">
        <w:tblPrEx>
          <w:tblCellMar>
            <w:top w:w="0" w:type="dxa"/>
            <w:left w:w="108" w:type="dxa"/>
            <w:bottom w:w="0" w:type="dxa"/>
            <w:right w:w="108" w:type="dxa"/>
          </w:tblCellMar>
        </w:tblPrEx>
        <w:trPr>
          <w:trHeight w:val="1060"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5D0EC">
            <w:pPr>
              <w:spacing w:line="300" w:lineRule="exact"/>
              <w:jc w:val="center"/>
              <w:rPr>
                <w:rFonts w:ascii="Times New Roman" w:hAnsi="Times New Roman" w:eastAsia="仿宋"/>
                <w:color w:val="000000"/>
                <w:sz w:val="20"/>
                <w:szCs w:val="20"/>
              </w:rPr>
            </w:pPr>
          </w:p>
        </w:tc>
        <w:tc>
          <w:tcPr>
            <w:tcW w:w="8503" w:type="dxa"/>
            <w:gridSpan w:val="4"/>
            <w:tcBorders>
              <w:top w:val="single" w:color="000000" w:sz="4" w:space="0"/>
              <w:left w:val="single" w:color="000000" w:sz="4" w:space="0"/>
              <w:bottom w:val="single" w:color="000000" w:sz="4" w:space="0"/>
              <w:right w:val="single" w:color="000000" w:sz="4" w:space="0"/>
            </w:tcBorders>
            <w:noWrap w:val="0"/>
            <w:vAlign w:val="center"/>
          </w:tcPr>
          <w:p w14:paraId="3CFC1B08">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支持新能源汽车产品推广应用，进一步扩大新能源汽车产品消费，推动新能源汽车市场持续增长，促进新能源汽车产业健康平稳发展，提升资金使用效益，确保财政资金发挥预期效益，推动新能源汽车产业的低碳化发展</w:t>
            </w:r>
          </w:p>
        </w:tc>
        <w:tc>
          <w:tcPr>
            <w:tcW w:w="6354" w:type="dxa"/>
            <w:gridSpan w:val="2"/>
            <w:tcBorders>
              <w:top w:val="single" w:color="000000" w:sz="4" w:space="0"/>
              <w:left w:val="single" w:color="000000" w:sz="4" w:space="0"/>
              <w:bottom w:val="single" w:color="000000" w:sz="4" w:space="0"/>
              <w:right w:val="single" w:color="000000" w:sz="4" w:space="0"/>
            </w:tcBorders>
            <w:noWrap w:val="0"/>
            <w:vAlign w:val="center"/>
          </w:tcPr>
          <w:p w14:paraId="7306A8D6">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节能减排补助资金（新能源汽车推广应用补助资金）的投入，为推动新能源汽车产业的高质量发展注入了强大的动力，我省新能源汽车产业在技术创新、产品升级、市场拓展等方面取得了显著进展。2024年，生产新能源汽车超95万辆，同比增长超18.01%，整体保持健康平稳发展。</w:t>
            </w:r>
          </w:p>
        </w:tc>
      </w:tr>
      <w:tr w14:paraId="63F93B05">
        <w:tblPrEx>
          <w:tblCellMar>
            <w:top w:w="0" w:type="dxa"/>
            <w:left w:w="108" w:type="dxa"/>
            <w:bottom w:w="0" w:type="dxa"/>
            <w:right w:w="108" w:type="dxa"/>
          </w:tblCellMar>
        </w:tblPrEx>
        <w:trPr>
          <w:trHeight w:val="540" w:hRule="atLeast"/>
          <w:jc w:val="center"/>
        </w:trPr>
        <w:tc>
          <w:tcPr>
            <w:tcW w:w="733" w:type="dxa"/>
            <w:vMerge w:val="restart"/>
            <w:tcBorders>
              <w:top w:val="single" w:color="000000" w:sz="4" w:space="0"/>
              <w:left w:val="single" w:color="000000" w:sz="4" w:space="0"/>
              <w:right w:val="single" w:color="000000" w:sz="4" w:space="0"/>
            </w:tcBorders>
            <w:noWrap w:val="0"/>
            <w:textDirection w:val="tbRlV"/>
            <w:vAlign w:val="center"/>
          </w:tcPr>
          <w:p w14:paraId="043F72F6">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绩效指标</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3D1C67DE">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一级</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73B10482">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二级</w:t>
            </w:r>
          </w:p>
          <w:p w14:paraId="3FCCC5B1">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F5FFA08">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三级指标</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039BFB69">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年度指标值</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2FEFEFF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全年实际完成值</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116EE6B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未完成原因和改进措施</w:t>
            </w:r>
          </w:p>
        </w:tc>
      </w:tr>
      <w:tr w14:paraId="16442197">
        <w:tblPrEx>
          <w:tblCellMar>
            <w:top w:w="0" w:type="dxa"/>
            <w:left w:w="108" w:type="dxa"/>
            <w:bottom w:w="0" w:type="dxa"/>
            <w:right w:w="108" w:type="dxa"/>
          </w:tblCellMar>
        </w:tblPrEx>
        <w:trPr>
          <w:trHeight w:val="540" w:hRule="atLeast"/>
          <w:jc w:val="center"/>
        </w:trPr>
        <w:tc>
          <w:tcPr>
            <w:tcW w:w="733" w:type="dxa"/>
            <w:vMerge w:val="continue"/>
            <w:tcBorders>
              <w:left w:val="single" w:color="000000" w:sz="4" w:space="0"/>
              <w:right w:val="single" w:color="000000" w:sz="4" w:space="0"/>
            </w:tcBorders>
            <w:noWrap w:val="0"/>
            <w:textDirection w:val="tbRlV"/>
            <w:vAlign w:val="center"/>
          </w:tcPr>
          <w:p w14:paraId="6DC7BC46">
            <w:pPr>
              <w:spacing w:line="300" w:lineRule="exact"/>
              <w:jc w:val="center"/>
              <w:rPr>
                <w:rFonts w:ascii="Times New Roman" w:hAnsi="Times New Roman" w:eastAsia="仿宋"/>
                <w:color w:val="000000"/>
                <w:sz w:val="20"/>
                <w:szCs w:val="20"/>
              </w:rPr>
            </w:pPr>
          </w:p>
        </w:tc>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0A1E8">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产出</w:t>
            </w:r>
          </w:p>
          <w:p w14:paraId="462E238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指标</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6A215">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质量</w:t>
            </w:r>
          </w:p>
          <w:p w14:paraId="67E82801">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1931961">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资金拨付率</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76765148">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0511ECB2">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2FF59EAB">
            <w:pPr>
              <w:spacing w:line="300" w:lineRule="exact"/>
              <w:rPr>
                <w:rFonts w:ascii="Times New Roman" w:hAnsi="Times New Roman" w:eastAsia="仿宋"/>
                <w:color w:val="000000"/>
                <w:sz w:val="20"/>
                <w:szCs w:val="20"/>
              </w:rPr>
            </w:pPr>
          </w:p>
        </w:tc>
      </w:tr>
      <w:tr w14:paraId="19F8255D">
        <w:tblPrEx>
          <w:tblCellMar>
            <w:top w:w="0" w:type="dxa"/>
            <w:left w:w="108" w:type="dxa"/>
            <w:bottom w:w="0" w:type="dxa"/>
            <w:right w:w="108" w:type="dxa"/>
          </w:tblCellMar>
        </w:tblPrEx>
        <w:trPr>
          <w:trHeight w:val="540" w:hRule="atLeast"/>
          <w:jc w:val="center"/>
        </w:trPr>
        <w:tc>
          <w:tcPr>
            <w:tcW w:w="733" w:type="dxa"/>
            <w:vMerge w:val="continue"/>
            <w:tcBorders>
              <w:left w:val="single" w:color="000000" w:sz="4" w:space="0"/>
              <w:right w:val="single" w:color="000000" w:sz="4" w:space="0"/>
            </w:tcBorders>
            <w:noWrap w:val="0"/>
            <w:textDirection w:val="tbRlV"/>
            <w:vAlign w:val="center"/>
          </w:tcPr>
          <w:p w14:paraId="784EB8FD">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35AE7">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ABEF5">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FBA42DA">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资金使用合规性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512262A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符合要求</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4F87CCA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符合要求</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4E9EDE17">
            <w:pPr>
              <w:spacing w:line="300" w:lineRule="exact"/>
              <w:rPr>
                <w:rFonts w:ascii="Times New Roman" w:hAnsi="Times New Roman" w:eastAsia="仿宋"/>
                <w:color w:val="000000"/>
                <w:sz w:val="20"/>
                <w:szCs w:val="20"/>
              </w:rPr>
            </w:pPr>
          </w:p>
        </w:tc>
      </w:tr>
      <w:tr w14:paraId="5A1CF2C0">
        <w:tblPrEx>
          <w:tblCellMar>
            <w:top w:w="0" w:type="dxa"/>
            <w:left w:w="108" w:type="dxa"/>
            <w:bottom w:w="0" w:type="dxa"/>
            <w:right w:w="108" w:type="dxa"/>
          </w:tblCellMar>
        </w:tblPrEx>
        <w:trPr>
          <w:trHeight w:val="700" w:hRule="atLeast"/>
          <w:jc w:val="center"/>
        </w:trPr>
        <w:tc>
          <w:tcPr>
            <w:tcW w:w="733" w:type="dxa"/>
            <w:vMerge w:val="continue"/>
            <w:tcBorders>
              <w:left w:val="single" w:color="000000" w:sz="4" w:space="0"/>
              <w:right w:val="single" w:color="000000" w:sz="4" w:space="0"/>
            </w:tcBorders>
            <w:noWrap w:val="0"/>
            <w:textDirection w:val="tbRlV"/>
            <w:vAlign w:val="center"/>
          </w:tcPr>
          <w:p w14:paraId="12204C86">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4B99">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C1BC6">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1D40534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车辆纳入新能源汽车国家监管平台比例</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6B2754A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77B30AA2">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4B4B3A0">
            <w:pPr>
              <w:spacing w:line="300" w:lineRule="exact"/>
              <w:rPr>
                <w:rFonts w:ascii="Times New Roman" w:hAnsi="Times New Roman" w:eastAsia="仿宋"/>
                <w:color w:val="000000"/>
                <w:sz w:val="20"/>
                <w:szCs w:val="20"/>
              </w:rPr>
            </w:pPr>
          </w:p>
        </w:tc>
      </w:tr>
      <w:tr w14:paraId="58005516">
        <w:tblPrEx>
          <w:tblCellMar>
            <w:top w:w="0" w:type="dxa"/>
            <w:left w:w="108" w:type="dxa"/>
            <w:bottom w:w="0" w:type="dxa"/>
            <w:right w:w="108" w:type="dxa"/>
          </w:tblCellMar>
        </w:tblPrEx>
        <w:trPr>
          <w:trHeight w:val="400" w:hRule="atLeast"/>
          <w:jc w:val="center"/>
        </w:trPr>
        <w:tc>
          <w:tcPr>
            <w:tcW w:w="733" w:type="dxa"/>
            <w:vMerge w:val="continue"/>
            <w:tcBorders>
              <w:left w:val="single" w:color="000000" w:sz="4" w:space="0"/>
              <w:right w:val="single" w:color="000000" w:sz="4" w:space="0"/>
            </w:tcBorders>
            <w:noWrap w:val="0"/>
            <w:textDirection w:val="tbRlV"/>
            <w:vAlign w:val="center"/>
          </w:tcPr>
          <w:p w14:paraId="0A8A44DE">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2A154">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8D8D8">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A851E96">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有运营里程要求车辆满足要求比例</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1F68EE8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62764019">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51AAF67B">
            <w:pPr>
              <w:spacing w:line="300" w:lineRule="exact"/>
              <w:rPr>
                <w:rFonts w:ascii="Times New Roman" w:hAnsi="Times New Roman" w:eastAsia="仿宋"/>
                <w:color w:val="000000"/>
                <w:sz w:val="20"/>
                <w:szCs w:val="20"/>
              </w:rPr>
            </w:pPr>
          </w:p>
        </w:tc>
      </w:tr>
      <w:tr w14:paraId="5DEA4EC8">
        <w:tblPrEx>
          <w:tblCellMar>
            <w:top w:w="0" w:type="dxa"/>
            <w:left w:w="108" w:type="dxa"/>
            <w:bottom w:w="0" w:type="dxa"/>
            <w:right w:w="108" w:type="dxa"/>
          </w:tblCellMar>
        </w:tblPrEx>
        <w:trPr>
          <w:trHeight w:val="1000" w:hRule="atLeast"/>
          <w:jc w:val="center"/>
        </w:trPr>
        <w:tc>
          <w:tcPr>
            <w:tcW w:w="733" w:type="dxa"/>
            <w:vMerge w:val="continue"/>
            <w:tcBorders>
              <w:left w:val="single" w:color="000000" w:sz="4" w:space="0"/>
              <w:right w:val="single" w:color="000000" w:sz="4" w:space="0"/>
            </w:tcBorders>
            <w:noWrap w:val="0"/>
            <w:textDirection w:val="tbRlV"/>
            <w:vAlign w:val="center"/>
          </w:tcPr>
          <w:p w14:paraId="34C0E1CD">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6F2FA">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9D5E3">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7A82F6B">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企业申报材料技术参数与新能源汽车推广应用推荐车型目录参数一致性</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2C377D19">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4F5699A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640450D9">
            <w:pPr>
              <w:spacing w:line="300" w:lineRule="exact"/>
              <w:rPr>
                <w:rFonts w:ascii="Times New Roman" w:hAnsi="Times New Roman" w:eastAsia="仿宋"/>
                <w:color w:val="000000"/>
                <w:sz w:val="20"/>
                <w:szCs w:val="20"/>
              </w:rPr>
            </w:pPr>
          </w:p>
        </w:tc>
      </w:tr>
      <w:tr w14:paraId="18442EEC">
        <w:tblPrEx>
          <w:tblCellMar>
            <w:top w:w="0" w:type="dxa"/>
            <w:left w:w="108" w:type="dxa"/>
            <w:bottom w:w="0" w:type="dxa"/>
            <w:right w:w="108" w:type="dxa"/>
          </w:tblCellMar>
        </w:tblPrEx>
        <w:trPr>
          <w:trHeight w:val="780" w:hRule="atLeast"/>
          <w:jc w:val="center"/>
        </w:trPr>
        <w:tc>
          <w:tcPr>
            <w:tcW w:w="733" w:type="dxa"/>
            <w:vMerge w:val="continue"/>
            <w:tcBorders>
              <w:left w:val="single" w:color="000000" w:sz="4" w:space="0"/>
              <w:bottom w:val="single" w:color="000000" w:sz="4" w:space="0"/>
              <w:right w:val="single" w:color="000000" w:sz="4" w:space="0"/>
            </w:tcBorders>
            <w:noWrap w:val="0"/>
            <w:textDirection w:val="tbRlV"/>
            <w:vAlign w:val="center"/>
          </w:tcPr>
          <w:p w14:paraId="1A218C00">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A4075">
            <w:pPr>
              <w:spacing w:line="300" w:lineRule="exact"/>
              <w:jc w:val="center"/>
              <w:rPr>
                <w:rFonts w:ascii="Times New Roman" w:hAnsi="Times New Roman" w:eastAsia="仿宋"/>
                <w:color w:val="000000"/>
                <w:sz w:val="20"/>
                <w:szCs w:val="20"/>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3C851721">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成本</w:t>
            </w:r>
          </w:p>
          <w:p w14:paraId="51FC2ADB">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2200AAD6">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在车辆产品销售时扣除新能源补贴部分</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1F628C3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符合要求</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691EB20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符合要求</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20E239A3">
            <w:pPr>
              <w:spacing w:line="300" w:lineRule="exact"/>
              <w:rPr>
                <w:rFonts w:ascii="Times New Roman" w:hAnsi="Times New Roman" w:eastAsia="仿宋"/>
                <w:color w:val="000000"/>
                <w:sz w:val="20"/>
                <w:szCs w:val="20"/>
              </w:rPr>
            </w:pPr>
          </w:p>
        </w:tc>
      </w:tr>
      <w:tr w14:paraId="37C7F1FC">
        <w:tblPrEx>
          <w:tblCellMar>
            <w:top w:w="0" w:type="dxa"/>
            <w:left w:w="108" w:type="dxa"/>
            <w:bottom w:w="0" w:type="dxa"/>
            <w:right w:w="108" w:type="dxa"/>
          </w:tblCellMar>
        </w:tblPrEx>
        <w:trPr>
          <w:trHeight w:val="360" w:hRule="atLeast"/>
          <w:jc w:val="center"/>
        </w:trPr>
        <w:tc>
          <w:tcPr>
            <w:tcW w:w="733" w:type="dxa"/>
            <w:vMerge w:val="restart"/>
            <w:tcBorders>
              <w:top w:val="single" w:color="000000" w:sz="4" w:space="0"/>
              <w:left w:val="single" w:color="000000" w:sz="4" w:space="0"/>
              <w:right w:val="single" w:color="000000" w:sz="4" w:space="0"/>
            </w:tcBorders>
            <w:noWrap w:val="0"/>
            <w:textDirection w:val="tbRlV"/>
            <w:vAlign w:val="center"/>
          </w:tcPr>
          <w:p w14:paraId="13E17078">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绩效指标</w:t>
            </w:r>
          </w:p>
        </w:tc>
        <w:tc>
          <w:tcPr>
            <w:tcW w:w="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AA428B">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效</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标</w:t>
            </w: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4A7E17">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经济</w:t>
            </w:r>
          </w:p>
          <w:p w14:paraId="5001466F">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7337D197">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产业低碳化</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466C917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显著提升</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4CF49DAE">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显著提升</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13E20BA2">
            <w:pPr>
              <w:spacing w:line="300" w:lineRule="exact"/>
              <w:rPr>
                <w:rFonts w:ascii="Times New Roman" w:hAnsi="Times New Roman" w:eastAsia="仿宋"/>
                <w:color w:val="000000"/>
                <w:sz w:val="20"/>
                <w:szCs w:val="20"/>
              </w:rPr>
            </w:pPr>
          </w:p>
        </w:tc>
      </w:tr>
      <w:tr w14:paraId="64A49554">
        <w:tblPrEx>
          <w:tblCellMar>
            <w:top w:w="0" w:type="dxa"/>
            <w:left w:w="108" w:type="dxa"/>
            <w:bottom w:w="0" w:type="dxa"/>
            <w:right w:w="108" w:type="dxa"/>
          </w:tblCellMar>
        </w:tblPrEx>
        <w:trPr>
          <w:trHeight w:val="360" w:hRule="atLeast"/>
          <w:jc w:val="center"/>
        </w:trPr>
        <w:tc>
          <w:tcPr>
            <w:tcW w:w="733" w:type="dxa"/>
            <w:vMerge w:val="continue"/>
            <w:tcBorders>
              <w:left w:val="single" w:color="000000" w:sz="4" w:space="0"/>
              <w:right w:val="single" w:color="000000" w:sz="4" w:space="0"/>
            </w:tcBorders>
            <w:noWrap w:val="0"/>
            <w:textDirection w:val="tbRlV"/>
            <w:vAlign w:val="center"/>
          </w:tcPr>
          <w:p w14:paraId="03051352">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4E463">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25A56">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0540640">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新能源汽车产量</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47BB49E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显著增长</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366A97F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显著增长</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3AAD66D2">
            <w:pPr>
              <w:spacing w:line="300" w:lineRule="exact"/>
              <w:rPr>
                <w:rFonts w:ascii="Times New Roman" w:hAnsi="Times New Roman" w:eastAsia="仿宋"/>
                <w:color w:val="000000"/>
                <w:sz w:val="20"/>
                <w:szCs w:val="20"/>
              </w:rPr>
            </w:pPr>
          </w:p>
        </w:tc>
      </w:tr>
      <w:tr w14:paraId="567DBA62">
        <w:tblPrEx>
          <w:tblCellMar>
            <w:top w:w="0" w:type="dxa"/>
            <w:left w:w="108" w:type="dxa"/>
            <w:bottom w:w="0" w:type="dxa"/>
            <w:right w:w="108" w:type="dxa"/>
          </w:tblCellMar>
        </w:tblPrEx>
        <w:trPr>
          <w:trHeight w:val="360" w:hRule="atLeast"/>
          <w:jc w:val="center"/>
        </w:trPr>
        <w:tc>
          <w:tcPr>
            <w:tcW w:w="733" w:type="dxa"/>
            <w:vMerge w:val="continue"/>
            <w:tcBorders>
              <w:left w:val="single" w:color="000000" w:sz="4" w:space="0"/>
              <w:right w:val="single" w:color="000000" w:sz="4" w:space="0"/>
            </w:tcBorders>
            <w:noWrap w:val="0"/>
            <w:textDirection w:val="tbRlV"/>
            <w:vAlign w:val="center"/>
          </w:tcPr>
          <w:p w14:paraId="52390DA0">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8D985">
            <w:pPr>
              <w:spacing w:line="300" w:lineRule="exact"/>
              <w:jc w:val="center"/>
              <w:rPr>
                <w:rFonts w:ascii="Times New Roman" w:hAnsi="Times New Roman" w:eastAsia="仿宋"/>
                <w:color w:val="000000"/>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9D372">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社会</w:t>
            </w:r>
          </w:p>
          <w:p w14:paraId="74EC1AFE">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72654E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资源节约</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20F0DFC1">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显著推动</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295014E0">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显著推动</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3FAB71E5">
            <w:pPr>
              <w:spacing w:line="300" w:lineRule="exact"/>
              <w:rPr>
                <w:rFonts w:ascii="Times New Roman" w:hAnsi="Times New Roman" w:eastAsia="仿宋"/>
                <w:color w:val="000000"/>
                <w:sz w:val="20"/>
                <w:szCs w:val="20"/>
              </w:rPr>
            </w:pPr>
          </w:p>
        </w:tc>
      </w:tr>
      <w:tr w14:paraId="4D0D2978">
        <w:tblPrEx>
          <w:tblCellMar>
            <w:top w:w="0" w:type="dxa"/>
            <w:left w:w="108" w:type="dxa"/>
            <w:bottom w:w="0" w:type="dxa"/>
            <w:right w:w="108" w:type="dxa"/>
          </w:tblCellMar>
        </w:tblPrEx>
        <w:trPr>
          <w:trHeight w:val="420" w:hRule="atLeast"/>
          <w:jc w:val="center"/>
        </w:trPr>
        <w:tc>
          <w:tcPr>
            <w:tcW w:w="733" w:type="dxa"/>
            <w:vMerge w:val="continue"/>
            <w:tcBorders>
              <w:left w:val="single" w:color="000000" w:sz="4" w:space="0"/>
              <w:right w:val="single" w:color="000000" w:sz="4" w:space="0"/>
            </w:tcBorders>
            <w:noWrap w:val="0"/>
            <w:textDirection w:val="tbRlV"/>
            <w:vAlign w:val="center"/>
          </w:tcPr>
          <w:p w14:paraId="60B55B7C">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493EB">
            <w:pPr>
              <w:spacing w:line="300" w:lineRule="exact"/>
              <w:jc w:val="center"/>
              <w:rPr>
                <w:rFonts w:ascii="Times New Roman" w:hAnsi="Times New Roman" w:eastAsia="仿宋"/>
                <w:color w:val="00000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36976">
            <w:pPr>
              <w:spacing w:line="300" w:lineRule="exact"/>
              <w:jc w:val="center"/>
              <w:rPr>
                <w:rFonts w:ascii="Times New Roman" w:hAnsi="Times New Roman" w:eastAsia="仿宋"/>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3056FDF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对汽车行业转型升级的促进作用</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6172AAFF">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显著促进</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6638734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显著促进</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4FEA1DB9">
            <w:pPr>
              <w:spacing w:line="300" w:lineRule="exact"/>
              <w:rPr>
                <w:rFonts w:ascii="Times New Roman" w:hAnsi="Times New Roman" w:eastAsia="仿宋"/>
                <w:color w:val="000000"/>
                <w:sz w:val="20"/>
                <w:szCs w:val="20"/>
              </w:rPr>
            </w:pPr>
          </w:p>
        </w:tc>
      </w:tr>
      <w:tr w14:paraId="0EE58428">
        <w:tblPrEx>
          <w:tblCellMar>
            <w:top w:w="0" w:type="dxa"/>
            <w:left w:w="108" w:type="dxa"/>
            <w:bottom w:w="0" w:type="dxa"/>
            <w:right w:w="108" w:type="dxa"/>
          </w:tblCellMar>
        </w:tblPrEx>
        <w:trPr>
          <w:trHeight w:val="480" w:hRule="atLeast"/>
          <w:jc w:val="center"/>
        </w:trPr>
        <w:tc>
          <w:tcPr>
            <w:tcW w:w="733" w:type="dxa"/>
            <w:vMerge w:val="continue"/>
            <w:tcBorders>
              <w:left w:val="single" w:color="000000" w:sz="4" w:space="0"/>
              <w:right w:val="single" w:color="000000" w:sz="4" w:space="0"/>
            </w:tcBorders>
            <w:noWrap w:val="0"/>
            <w:textDirection w:val="tbRlV"/>
            <w:vAlign w:val="center"/>
          </w:tcPr>
          <w:p w14:paraId="7DD9BFE6">
            <w:pPr>
              <w:spacing w:line="300" w:lineRule="exact"/>
              <w:jc w:val="center"/>
              <w:rPr>
                <w:rFonts w:ascii="Times New Roman" w:hAnsi="Times New Roman" w:eastAsia="仿宋"/>
                <w:color w:val="000000"/>
                <w:sz w:val="20"/>
                <w:szCs w:val="20"/>
              </w:rPr>
            </w:pPr>
          </w:p>
        </w:tc>
        <w:tc>
          <w:tcPr>
            <w:tcW w:w="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8D353">
            <w:pPr>
              <w:spacing w:line="300" w:lineRule="exact"/>
              <w:jc w:val="center"/>
              <w:rPr>
                <w:rFonts w:ascii="Times New Roman" w:hAnsi="Times New Roman" w:eastAsia="仿宋"/>
                <w:color w:val="000000"/>
                <w:sz w:val="20"/>
                <w:szCs w:val="20"/>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0277BF19">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生态</w:t>
            </w:r>
          </w:p>
          <w:p w14:paraId="0DF03C2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44525A4C">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节能减排效果</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508CFADD">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有所提升</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5E67E323">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有所提升</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62AA2A3D">
            <w:pPr>
              <w:spacing w:line="300" w:lineRule="exact"/>
              <w:rPr>
                <w:rFonts w:ascii="Times New Roman" w:hAnsi="Times New Roman" w:eastAsia="仿宋"/>
                <w:color w:val="000000"/>
                <w:sz w:val="20"/>
                <w:szCs w:val="20"/>
              </w:rPr>
            </w:pPr>
          </w:p>
        </w:tc>
      </w:tr>
      <w:tr w14:paraId="18CED702">
        <w:tblPrEx>
          <w:tblCellMar>
            <w:top w:w="0" w:type="dxa"/>
            <w:left w:w="108" w:type="dxa"/>
            <w:bottom w:w="0" w:type="dxa"/>
            <w:right w:w="108" w:type="dxa"/>
          </w:tblCellMar>
        </w:tblPrEx>
        <w:trPr>
          <w:trHeight w:val="660" w:hRule="atLeast"/>
          <w:jc w:val="center"/>
        </w:trPr>
        <w:tc>
          <w:tcPr>
            <w:tcW w:w="733" w:type="dxa"/>
            <w:vMerge w:val="continue"/>
            <w:tcBorders>
              <w:left w:val="single" w:color="000000" w:sz="4" w:space="0"/>
              <w:bottom w:val="single" w:color="000000" w:sz="4" w:space="0"/>
              <w:right w:val="single" w:color="000000" w:sz="4" w:space="0"/>
            </w:tcBorders>
            <w:noWrap w:val="0"/>
            <w:textDirection w:val="tbRlV"/>
            <w:vAlign w:val="center"/>
          </w:tcPr>
          <w:p w14:paraId="23351AED">
            <w:pPr>
              <w:spacing w:line="300" w:lineRule="exact"/>
              <w:jc w:val="center"/>
              <w:rPr>
                <w:rFonts w:ascii="Times New Roman" w:hAnsi="Times New Roman" w:eastAsia="仿宋"/>
                <w:color w:val="000000"/>
                <w:sz w:val="20"/>
                <w:szCs w:val="20"/>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05775266">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满意度指标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77D4D702">
            <w:pPr>
              <w:spacing w:line="300" w:lineRule="exact"/>
              <w:jc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服务</w:t>
            </w:r>
          </w:p>
          <w:p w14:paraId="6DF58020">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对象</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满意度指标</w:t>
            </w:r>
          </w:p>
        </w:tc>
        <w:tc>
          <w:tcPr>
            <w:tcW w:w="2419" w:type="dxa"/>
            <w:tcBorders>
              <w:top w:val="single" w:color="000000" w:sz="4" w:space="0"/>
              <w:left w:val="single" w:color="000000" w:sz="4" w:space="0"/>
              <w:bottom w:val="single" w:color="000000" w:sz="4" w:space="0"/>
              <w:right w:val="single" w:color="000000" w:sz="4" w:space="0"/>
            </w:tcBorders>
            <w:noWrap w:val="0"/>
            <w:vAlign w:val="center"/>
          </w:tcPr>
          <w:p w14:paraId="52E24FB5">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受益企业、群众满意度</w:t>
            </w:r>
          </w:p>
        </w:tc>
        <w:tc>
          <w:tcPr>
            <w:tcW w:w="4339" w:type="dxa"/>
            <w:tcBorders>
              <w:top w:val="single" w:color="000000" w:sz="4" w:space="0"/>
              <w:left w:val="single" w:color="000000" w:sz="4" w:space="0"/>
              <w:bottom w:val="single" w:color="000000" w:sz="4" w:space="0"/>
              <w:right w:val="single" w:color="000000" w:sz="4" w:space="0"/>
            </w:tcBorders>
            <w:noWrap w:val="0"/>
            <w:vAlign w:val="center"/>
          </w:tcPr>
          <w:p w14:paraId="71889E9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≥90%</w:t>
            </w:r>
          </w:p>
        </w:tc>
        <w:tc>
          <w:tcPr>
            <w:tcW w:w="4100" w:type="dxa"/>
            <w:tcBorders>
              <w:top w:val="single" w:color="000000" w:sz="4" w:space="0"/>
              <w:left w:val="single" w:color="000000" w:sz="4" w:space="0"/>
              <w:bottom w:val="single" w:color="000000" w:sz="4" w:space="0"/>
              <w:right w:val="single" w:color="000000" w:sz="4" w:space="0"/>
            </w:tcBorders>
            <w:noWrap w:val="0"/>
            <w:vAlign w:val="center"/>
          </w:tcPr>
          <w:p w14:paraId="1234DFA4">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95%</w:t>
            </w: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7BEDAC1">
            <w:pPr>
              <w:spacing w:line="300" w:lineRule="exact"/>
              <w:rPr>
                <w:rFonts w:ascii="Times New Roman" w:hAnsi="Times New Roman" w:eastAsia="仿宋"/>
                <w:color w:val="000000"/>
                <w:sz w:val="20"/>
                <w:szCs w:val="20"/>
              </w:rPr>
            </w:pPr>
          </w:p>
        </w:tc>
      </w:tr>
      <w:tr w14:paraId="6EE5E997">
        <w:tblPrEx>
          <w:tblCellMar>
            <w:top w:w="0" w:type="dxa"/>
            <w:left w:w="108" w:type="dxa"/>
            <w:bottom w:w="0" w:type="dxa"/>
            <w:right w:w="108" w:type="dxa"/>
          </w:tblCellMar>
        </w:tblPrEx>
        <w:trPr>
          <w:trHeight w:val="400" w:hRule="atLeast"/>
          <w:jc w:val="center"/>
        </w:trPr>
        <w:tc>
          <w:tcPr>
            <w:tcW w:w="733" w:type="dxa"/>
            <w:tcBorders>
              <w:top w:val="single" w:color="000000" w:sz="4" w:space="0"/>
              <w:left w:val="single" w:color="000000" w:sz="4" w:space="0"/>
              <w:bottom w:val="single" w:color="000000" w:sz="4" w:space="0"/>
              <w:right w:val="single" w:color="000000" w:sz="4" w:space="0"/>
            </w:tcBorders>
            <w:noWrap w:val="0"/>
            <w:vAlign w:val="center"/>
          </w:tcPr>
          <w:p w14:paraId="6AA297C0">
            <w:pPr>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说明</w:t>
            </w:r>
          </w:p>
        </w:tc>
        <w:tc>
          <w:tcPr>
            <w:tcW w:w="14857" w:type="dxa"/>
            <w:gridSpan w:val="6"/>
            <w:tcBorders>
              <w:top w:val="single" w:color="000000" w:sz="4" w:space="0"/>
              <w:left w:val="single" w:color="000000" w:sz="4" w:space="0"/>
              <w:bottom w:val="single" w:color="000000" w:sz="4" w:space="0"/>
              <w:right w:val="single" w:color="000000" w:sz="4" w:space="0"/>
            </w:tcBorders>
            <w:noWrap w:val="0"/>
            <w:vAlign w:val="center"/>
          </w:tcPr>
          <w:p w14:paraId="2B28441C">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请在此处简要说明中央巡视、各级审计和财政监督中发现的问题及其所涉及的金额，如没有请填无。</w:t>
            </w:r>
          </w:p>
        </w:tc>
      </w:tr>
      <w:tr w14:paraId="720827CB">
        <w:tblPrEx>
          <w:tblCellMar>
            <w:top w:w="0" w:type="dxa"/>
            <w:left w:w="108" w:type="dxa"/>
            <w:bottom w:w="0" w:type="dxa"/>
            <w:right w:w="108" w:type="dxa"/>
          </w:tblCellMar>
        </w:tblPrEx>
        <w:trPr>
          <w:trHeight w:val="240" w:hRule="atLeast"/>
          <w:jc w:val="center"/>
        </w:trPr>
        <w:tc>
          <w:tcPr>
            <w:tcW w:w="15590" w:type="dxa"/>
            <w:gridSpan w:val="7"/>
            <w:tcBorders>
              <w:top w:val="nil"/>
              <w:left w:val="nil"/>
              <w:bottom w:val="nil"/>
              <w:right w:val="nil"/>
            </w:tcBorders>
            <w:noWrap w:val="0"/>
            <w:vAlign w:val="bottom"/>
          </w:tcPr>
          <w:p w14:paraId="134D6737">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注：1.资金使用单位按项目绩效目标填报，主管部门汇总时按区域绩效目标填报。</w:t>
            </w:r>
          </w:p>
        </w:tc>
      </w:tr>
      <w:tr w14:paraId="21A4DDB7">
        <w:tblPrEx>
          <w:tblCellMar>
            <w:top w:w="0" w:type="dxa"/>
            <w:left w:w="108" w:type="dxa"/>
            <w:bottom w:w="0" w:type="dxa"/>
            <w:right w:w="108" w:type="dxa"/>
          </w:tblCellMar>
        </w:tblPrEx>
        <w:trPr>
          <w:trHeight w:val="240" w:hRule="atLeast"/>
          <w:jc w:val="center"/>
        </w:trPr>
        <w:tc>
          <w:tcPr>
            <w:tcW w:w="15590" w:type="dxa"/>
            <w:gridSpan w:val="7"/>
            <w:tcBorders>
              <w:top w:val="nil"/>
              <w:left w:val="nil"/>
              <w:bottom w:val="nil"/>
              <w:right w:val="nil"/>
            </w:tcBorders>
            <w:noWrap w:val="0"/>
            <w:vAlign w:val="bottom"/>
          </w:tcPr>
          <w:p w14:paraId="3A28E66C">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2.其他资金包括与中央财政资金、地方财政资金共同投入到同一项目的自有资金、社会资金，以及以前年度的结转结余资金等。</w:t>
            </w:r>
          </w:p>
        </w:tc>
      </w:tr>
      <w:tr w14:paraId="6CA10936">
        <w:tblPrEx>
          <w:tblCellMar>
            <w:top w:w="0" w:type="dxa"/>
            <w:left w:w="108" w:type="dxa"/>
            <w:bottom w:w="0" w:type="dxa"/>
            <w:right w:w="108" w:type="dxa"/>
          </w:tblCellMar>
        </w:tblPrEx>
        <w:trPr>
          <w:trHeight w:val="240" w:hRule="atLeast"/>
          <w:jc w:val="center"/>
        </w:trPr>
        <w:tc>
          <w:tcPr>
            <w:tcW w:w="15590" w:type="dxa"/>
            <w:gridSpan w:val="7"/>
            <w:tcBorders>
              <w:top w:val="nil"/>
              <w:left w:val="nil"/>
              <w:bottom w:val="nil"/>
              <w:right w:val="nil"/>
            </w:tcBorders>
            <w:noWrap w:val="0"/>
            <w:vAlign w:val="bottom"/>
          </w:tcPr>
          <w:p w14:paraId="64D5C329">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3.全年执行数是指按照国家集中支付制度要求所形成的实际支出。</w:t>
            </w:r>
          </w:p>
        </w:tc>
      </w:tr>
      <w:tr w14:paraId="1937CE9B">
        <w:tblPrEx>
          <w:tblCellMar>
            <w:top w:w="0" w:type="dxa"/>
            <w:left w:w="108" w:type="dxa"/>
            <w:bottom w:w="0" w:type="dxa"/>
            <w:right w:w="108" w:type="dxa"/>
          </w:tblCellMar>
        </w:tblPrEx>
        <w:trPr>
          <w:trHeight w:val="240" w:hRule="atLeast"/>
          <w:jc w:val="center"/>
        </w:trPr>
        <w:tc>
          <w:tcPr>
            <w:tcW w:w="15590" w:type="dxa"/>
            <w:gridSpan w:val="7"/>
            <w:tcBorders>
              <w:top w:val="nil"/>
              <w:left w:val="nil"/>
              <w:bottom w:val="nil"/>
              <w:right w:val="nil"/>
            </w:tcBorders>
            <w:noWrap w:val="0"/>
            <w:vAlign w:val="bottom"/>
          </w:tcPr>
          <w:p w14:paraId="161209CE">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4.定量指标。地方各级主管部门对资金使用单位填写的实际完成值汇总时，绝对值直接累加计算，相对值按照资金额度加权平均计算。</w:t>
            </w:r>
          </w:p>
        </w:tc>
      </w:tr>
      <w:tr w14:paraId="1703AB75">
        <w:tblPrEx>
          <w:tblCellMar>
            <w:top w:w="0" w:type="dxa"/>
            <w:left w:w="108" w:type="dxa"/>
            <w:bottom w:w="0" w:type="dxa"/>
            <w:right w:w="108" w:type="dxa"/>
          </w:tblCellMar>
        </w:tblPrEx>
        <w:trPr>
          <w:trHeight w:val="240" w:hRule="atLeast"/>
          <w:jc w:val="center"/>
        </w:trPr>
        <w:tc>
          <w:tcPr>
            <w:tcW w:w="15590" w:type="dxa"/>
            <w:gridSpan w:val="7"/>
            <w:tcBorders>
              <w:top w:val="nil"/>
              <w:left w:val="nil"/>
              <w:bottom w:val="nil"/>
              <w:right w:val="nil"/>
            </w:tcBorders>
            <w:noWrap w:val="0"/>
            <w:vAlign w:val="bottom"/>
          </w:tcPr>
          <w:p w14:paraId="0684D85F">
            <w:pPr>
              <w:spacing w:line="300" w:lineRule="exact"/>
              <w:jc w:val="left"/>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5.定性指标。资金使用单位分别按照80%（含）-100%、60%（含）-80%、0%-60%合理填报实际完成值。地方各级主管部门汇总时，按照资金额度加权平均计算完成值。</w:t>
            </w:r>
          </w:p>
        </w:tc>
      </w:tr>
    </w:tbl>
    <w:p w14:paraId="4A604A6D">
      <w:pPr>
        <w:pStyle w:val="5"/>
        <w:adjustRightInd w:val="0"/>
        <w:snapToGrid w:val="0"/>
        <w:spacing w:line="600" w:lineRule="exact"/>
        <w:jc w:val="both"/>
        <w:rPr>
          <w:rFonts w:ascii="Times New Roman" w:hAnsi="Times New Roman" w:eastAsia="仿宋"/>
          <w:kern w:val="21"/>
          <w:sz w:val="32"/>
          <w:szCs w:val="32"/>
        </w:rPr>
      </w:pPr>
    </w:p>
    <w:p w14:paraId="336E1342">
      <w:pPr>
        <w:pStyle w:val="5"/>
        <w:adjustRightInd w:val="0"/>
        <w:snapToGrid w:val="0"/>
        <w:spacing w:line="600" w:lineRule="exact"/>
        <w:jc w:val="both"/>
        <w:rPr>
          <w:rFonts w:ascii="Times New Roman" w:hAnsi="Times New Roman" w:eastAsia="仿宋"/>
          <w:kern w:val="21"/>
          <w:sz w:val="32"/>
          <w:szCs w:val="32"/>
        </w:rPr>
      </w:pPr>
    </w:p>
    <w:p w14:paraId="3085F6D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细圆B5">
    <w:altName w:val="思源黑体旧字形 Bold"/>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思源黑体旧字形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05C0440"/>
    <w:rsid w:val="105C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 文字 + 首行缩进:  2 字符3"/>
    <w:basedOn w:val="1"/>
    <w:qFormat/>
    <w:uiPriority w:val="0"/>
    <w:pPr>
      <w:spacing w:line="360" w:lineRule="auto"/>
      <w:jc w:val="left"/>
    </w:pPr>
    <w:rPr>
      <w:sz w:val="28"/>
      <w:szCs w:val="28"/>
    </w:rPr>
  </w:style>
  <w:style w:type="character" w:customStyle="1" w:styleId="6">
    <w:name w:val="font51"/>
    <w:qFormat/>
    <w:uiPriority w:val="0"/>
    <w:rPr>
      <w:rFonts w:ascii="汉仪细圆B5" w:hAnsi="汉仪细圆B5" w:eastAsia="汉仪细圆B5" w:cs="汉仪细圆B5"/>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2025-04-03T09:28:00Z</dcterms:created>
  <dc:creator>杨祖德</dc:creator>
  <cp:lastModifiedBy>杨祖德</cp:lastModifiedBy>
  <dcterms:modified xsi:type="dcterms:W3CDTF">2025-04-03T09:28:51Z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B0F63AF214A84B2582C118E98D04DE6F_11</vt:lpwstr>
  </property>
</Properties>
</file>