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E034A">
      <w:pPr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1BE7EBA3">
      <w:pPr>
        <w:pStyle w:val="2"/>
        <w:overflowPunct w:val="0"/>
        <w:spacing w:after="0" w:line="60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bookmarkStart w:id="0" w:name="OLE_LINK4"/>
    </w:p>
    <w:p w14:paraId="05BFFBE1">
      <w:pPr>
        <w:pStyle w:val="2"/>
        <w:overflowPunct w:val="0"/>
        <w:spacing w:after="0" w:line="60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  <w:t>湖南省工业企业设备更新和技术改造</w:t>
      </w:r>
    </w:p>
    <w:p w14:paraId="4EFC5DE2">
      <w:pPr>
        <w:pStyle w:val="2"/>
        <w:overflowPunct w:val="0"/>
        <w:spacing w:after="0" w:line="60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  <w:t>合作金融机构名单</w:t>
      </w:r>
    </w:p>
    <w:bookmarkEnd w:id="0"/>
    <w:p w14:paraId="3A4CC7AD">
      <w:pPr>
        <w:pStyle w:val="2"/>
        <w:overflowPunct w:val="0"/>
        <w:spacing w:after="0" w:line="600" w:lineRule="exact"/>
        <w:jc w:val="center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（2024年11月8日发布，排名不分先后）</w:t>
      </w:r>
    </w:p>
    <w:p w14:paraId="3D011F8B">
      <w:pPr>
        <w:pStyle w:val="2"/>
        <w:overflowPunct w:val="0"/>
        <w:spacing w:after="0" w:line="60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536"/>
      </w:tblGrid>
      <w:tr w14:paraId="0BC7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2"/>
            <w:shd w:val="clear" w:color="auto" w:fill="auto"/>
            <w:noWrap w:val="0"/>
            <w:vAlign w:val="top"/>
          </w:tcPr>
          <w:p w14:paraId="33190650">
            <w:pPr>
              <w:pStyle w:val="2"/>
              <w:tabs>
                <w:tab w:val="left" w:pos="1704"/>
              </w:tabs>
              <w:overflowPunct w:val="0"/>
              <w:spacing w:after="0"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一、银行机构</w:t>
            </w:r>
          </w:p>
        </w:tc>
      </w:tr>
      <w:tr w14:paraId="0BE9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3A814ADE">
            <w:pPr>
              <w:pStyle w:val="2"/>
              <w:overflowPunct w:val="0"/>
              <w:spacing w:after="0"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5C703377">
            <w:pPr>
              <w:pStyle w:val="2"/>
              <w:overflowPunct w:val="0"/>
              <w:spacing w:after="0"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</w:tr>
      <w:tr w14:paraId="2E95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54C6BD1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187C97E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国家开发银行湖南省分行</w:t>
            </w:r>
          </w:p>
        </w:tc>
      </w:tr>
      <w:tr w14:paraId="12D8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4B87523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4E0197A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中国农业发展银行湖南省分行</w:t>
            </w:r>
          </w:p>
        </w:tc>
      </w:tr>
      <w:tr w14:paraId="6AC5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1C14E31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3E81071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中国进出口银行湖南省分行</w:t>
            </w:r>
          </w:p>
        </w:tc>
      </w:tr>
      <w:tr w14:paraId="6DF1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2FA3908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7D93CCA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中国银行股份有限公司湖南省分行</w:t>
            </w:r>
          </w:p>
        </w:tc>
      </w:tr>
      <w:tr w14:paraId="535F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54F50E1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4FCFCF5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中国农业银行股份有限公司湖南省分行</w:t>
            </w:r>
          </w:p>
        </w:tc>
      </w:tr>
      <w:tr w14:paraId="1CB8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6183038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01F324A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中国工商银行股份有限公司湖南省分行</w:t>
            </w:r>
          </w:p>
        </w:tc>
      </w:tr>
      <w:tr w14:paraId="48B8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08C6404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4EA3A6D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中国建设银行股份有限公司湖南省分行</w:t>
            </w:r>
          </w:p>
        </w:tc>
      </w:tr>
      <w:tr w14:paraId="706D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73859CE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4B03556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交通银行股份有限公司湖南省分行</w:t>
            </w:r>
          </w:p>
        </w:tc>
      </w:tr>
      <w:tr w14:paraId="19E7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70B2EF0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3DB7FA9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中国邮政储蓄银行股份有限公司湖南省分行</w:t>
            </w:r>
          </w:p>
        </w:tc>
      </w:tr>
      <w:tr w14:paraId="14C8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005D1FB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7DBB15A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中信银行股份有限公司长沙分行</w:t>
            </w:r>
          </w:p>
        </w:tc>
      </w:tr>
      <w:tr w14:paraId="4A9A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2A5F19D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201A2CE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中国光大银行股份有限公司长沙分行</w:t>
            </w:r>
          </w:p>
        </w:tc>
      </w:tr>
      <w:tr w14:paraId="3010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41F6D9E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4786570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兴业银行股份有限公司长沙分行</w:t>
            </w:r>
          </w:p>
        </w:tc>
      </w:tr>
      <w:tr w14:paraId="09B27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741EE58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78245F3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浙商银行股份有限公司长沙分行</w:t>
            </w:r>
          </w:p>
        </w:tc>
      </w:tr>
      <w:tr w14:paraId="24A7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0D8977B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53D3A94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恒丰银行股份有限公司长沙分行</w:t>
            </w:r>
          </w:p>
        </w:tc>
      </w:tr>
      <w:tr w14:paraId="2780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6EAA850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185E6F2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招商银行股份有限公司长沙分行</w:t>
            </w:r>
          </w:p>
        </w:tc>
      </w:tr>
      <w:tr w14:paraId="2F04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79A12A5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26DA902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中国民生银行股份有限公司长沙分行</w:t>
            </w:r>
          </w:p>
        </w:tc>
      </w:tr>
      <w:tr w14:paraId="6217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63F46FD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1D581AC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华夏银行股份有限公司长沙分行</w:t>
            </w:r>
          </w:p>
        </w:tc>
      </w:tr>
      <w:tr w14:paraId="3E059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0CD71CD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77188BF3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广发银行股份有限公司长沙分行</w:t>
            </w:r>
          </w:p>
        </w:tc>
      </w:tr>
      <w:tr w14:paraId="0538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57C563D8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05ACD49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上海浦东发展银行股份有限公司长沙分行</w:t>
            </w:r>
          </w:p>
        </w:tc>
      </w:tr>
      <w:tr w14:paraId="32E8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59B5E5C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2050151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渤海银行股份有限公司长沙分行</w:t>
            </w:r>
          </w:p>
        </w:tc>
      </w:tr>
      <w:tr w14:paraId="2F62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302CD09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7F48E635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平安银行股份有限公司长沙分行</w:t>
            </w:r>
          </w:p>
        </w:tc>
      </w:tr>
      <w:tr w14:paraId="7D34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73B18011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7747BB27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湖南银行股份有限公司</w:t>
            </w:r>
          </w:p>
        </w:tc>
      </w:tr>
      <w:tr w14:paraId="480F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180692D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44E8E260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长沙银行股份有限公司</w:t>
            </w:r>
          </w:p>
        </w:tc>
      </w:tr>
      <w:tr w14:paraId="0811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7581D52E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6C602A0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湖南省农村信用社联合社</w:t>
            </w:r>
          </w:p>
        </w:tc>
      </w:tr>
      <w:tr w14:paraId="2819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288" w:type="dxa"/>
            <w:gridSpan w:val="2"/>
            <w:shd w:val="clear" w:color="auto" w:fill="auto"/>
            <w:noWrap w:val="0"/>
            <w:vAlign w:val="top"/>
          </w:tcPr>
          <w:p w14:paraId="0023EC6A">
            <w:pPr>
              <w:pStyle w:val="2"/>
              <w:overflowPunct w:val="0"/>
              <w:spacing w:after="0" w:line="600" w:lineRule="exact"/>
              <w:ind w:firstLine="560" w:firstLineChars="200"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二、融资租赁公司</w:t>
            </w:r>
          </w:p>
        </w:tc>
      </w:tr>
      <w:tr w14:paraId="50C7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center"/>
          </w:tcPr>
          <w:p w14:paraId="1B548FC1">
            <w:pPr>
              <w:pStyle w:val="2"/>
              <w:overflowPunct w:val="0"/>
              <w:spacing w:after="0"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5305D871">
            <w:pPr>
              <w:pStyle w:val="2"/>
              <w:overflowPunct w:val="0"/>
              <w:spacing w:after="0" w:line="60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</w:tr>
      <w:tr w14:paraId="3FCA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top"/>
          </w:tcPr>
          <w:p w14:paraId="1BB9ABB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6AE4E086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湖南湘江时代融资租赁有限公司</w:t>
            </w:r>
          </w:p>
        </w:tc>
      </w:tr>
      <w:tr w14:paraId="02D5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top"/>
          </w:tcPr>
          <w:p w14:paraId="10210EC9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1578CBED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中湘建融融资租赁有限公司</w:t>
            </w:r>
          </w:p>
        </w:tc>
      </w:tr>
      <w:tr w14:paraId="721C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dxa"/>
            <w:shd w:val="clear" w:color="auto" w:fill="auto"/>
            <w:noWrap w:val="0"/>
            <w:vAlign w:val="top"/>
          </w:tcPr>
          <w:p w14:paraId="3525A93B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256" w:type="dxa"/>
            <w:shd w:val="clear" w:color="auto" w:fill="auto"/>
            <w:noWrap w:val="0"/>
            <w:vAlign w:val="center"/>
          </w:tcPr>
          <w:p w14:paraId="7241457F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郴州汇融融资租赁有限公司</w:t>
            </w:r>
          </w:p>
        </w:tc>
      </w:tr>
    </w:tbl>
    <w:p w14:paraId="627BC06B">
      <w:pPr>
        <w:pStyle w:val="2"/>
        <w:overflowPunct w:val="0"/>
        <w:spacing w:after="0" w:line="600" w:lineRule="exact"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</w:p>
    <w:p w14:paraId="19DEBA1D">
      <w:pPr>
        <w:pStyle w:val="2"/>
        <w:overflowPunct w:val="0"/>
        <w:spacing w:after="0" w:line="600" w:lineRule="exact"/>
        <w:ind w:firstLine="640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</w:p>
    <w:p w14:paraId="4B868084">
      <w:pPr>
        <w:rPr>
          <w:rFonts w:ascii="Times New Roman" w:hAnsi="Times New Roman" w:eastAsia="仿宋"/>
          <w:sz w:val="28"/>
          <w:szCs w:val="28"/>
        </w:rPr>
      </w:pPr>
    </w:p>
    <w:p w14:paraId="5588CC6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91D737C"/>
    <w:rsid w:val="391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2025-04-16T08:04:00Z</dcterms:created>
  <dc:creator>杨祖德</dc:creator>
  <cp:lastModifiedBy>杨祖德</cp:lastModifiedBy>
  <dcterms:modified xsi:type="dcterms:W3CDTF">2025-04-16T08:05:24Z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2C2B3667629E42FC8BB187E7E0D12E91_11</vt:lpwstr>
  </property>
</Properties>
</file>