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CAAFF">
      <w:pPr>
        <w:spacing w:line="270" w:lineRule="auto"/>
        <w:jc w:val="left"/>
        <w:rPr>
          <w:rFonts w:hint="eastAsia" w:ascii="方正小标宋简体" w:hAnsi="方正小标宋简体" w:eastAsia="方正小标宋简体" w:cs="方正小标宋简体"/>
          <w:sz w:val="30"/>
          <w:szCs w:val="30"/>
          <w:lang w:val="en"/>
        </w:rPr>
      </w:pPr>
      <w:r>
        <w:rPr>
          <w:rFonts w:hint="eastAsia" w:ascii="方正小标宋简体" w:hAnsi="方正小标宋简体" w:eastAsia="方正小标宋简体" w:cs="方正小标宋简体"/>
          <w:sz w:val="30"/>
          <w:szCs w:val="30"/>
          <w:lang w:val="en"/>
        </w:rPr>
        <w:t>附件</w:t>
      </w:r>
      <w:r>
        <w:rPr>
          <w:rFonts w:hint="eastAsia" w:ascii="方正小标宋简体" w:hAnsi="方正小标宋简体" w:eastAsia="方正小标宋简体" w:cs="方正小标宋简体"/>
          <w:sz w:val="30"/>
          <w:szCs w:val="30"/>
        </w:rPr>
        <w:t>1</w:t>
      </w:r>
      <w:r>
        <w:rPr>
          <w:rFonts w:hint="eastAsia" w:ascii="方正小标宋简体" w:hAnsi="方正小标宋简体" w:eastAsia="方正小标宋简体" w:cs="方正小标宋简体"/>
          <w:sz w:val="30"/>
          <w:szCs w:val="30"/>
          <w:lang w:val="en"/>
        </w:rPr>
        <w:t>：</w:t>
      </w:r>
    </w:p>
    <w:p w14:paraId="0F3E03FA">
      <w:pPr>
        <w:spacing w:line="270" w:lineRule="auto"/>
        <w:jc w:val="center"/>
        <w:rPr>
          <w:rFonts w:hint="eastAsia" w:ascii="方正小标宋简体" w:hAnsi="方正小标宋简体" w:eastAsia="方正小标宋简体" w:cs="方正小标宋简体"/>
          <w:sz w:val="36"/>
          <w:szCs w:val="36"/>
          <w:lang w:val="en"/>
        </w:rPr>
      </w:pPr>
      <w:bookmarkStart w:id="0" w:name="_GoBack"/>
      <w:r>
        <w:rPr>
          <w:rFonts w:hint="eastAsia" w:ascii="方正小标宋简体" w:hAnsi="方正小标宋简体" w:eastAsia="方正小标宋简体" w:cs="方正小标宋简体"/>
          <w:sz w:val="36"/>
          <w:szCs w:val="36"/>
          <w:lang w:val="en"/>
        </w:rPr>
        <w:t>湖南省制造业质量标杆评价指标体系</w:t>
      </w:r>
    </w:p>
    <w:bookmarkEnd w:id="0"/>
    <w:p w14:paraId="48B4CADA">
      <w:pPr>
        <w:spacing w:line="271" w:lineRule="auto"/>
        <w:jc w:val="center"/>
        <w:rPr>
          <w:rFonts w:ascii="Arial"/>
        </w:rPr>
      </w:pPr>
    </w:p>
    <w:p w14:paraId="31C2DD42">
      <w:pPr>
        <w:spacing w:before="138" w:line="251" w:lineRule="auto"/>
        <w:ind w:left="78" w:right="123" w:firstLine="644"/>
        <w:rPr>
          <w:rFonts w:hint="eastAsia" w:ascii="仿宋_GB2312" w:hAnsi="仿宋_GB2312" w:eastAsia="仿宋_GB2312" w:cs="仿宋_GB2312"/>
          <w:spacing w:val="-2"/>
          <w:sz w:val="32"/>
          <w:szCs w:val="32"/>
        </w:rPr>
      </w:pPr>
      <w:r>
        <w:rPr>
          <w:rFonts w:hint="eastAsia" w:ascii="仿宋_GB2312" w:hAnsi="仿宋_GB2312" w:eastAsia="仿宋_GB2312" w:cs="仿宋_GB2312"/>
          <w:sz w:val="32"/>
          <w:szCs w:val="32"/>
          <w:lang w:val="en"/>
        </w:rPr>
        <w:t>湖南省制造业质量标杆评价主要对企业质量管理成熟度进行评价，</w:t>
      </w:r>
      <w:r>
        <w:rPr>
          <w:rFonts w:hint="eastAsia" w:ascii="仿宋_GB2312" w:hAnsi="仿宋_GB2312" w:eastAsia="仿宋_GB2312" w:cs="仿宋_GB2312"/>
          <w:spacing w:val="-11"/>
          <w:sz w:val="32"/>
          <w:szCs w:val="32"/>
        </w:rPr>
        <w:t>从质</w:t>
      </w:r>
      <w:r>
        <w:rPr>
          <w:rFonts w:hint="eastAsia" w:ascii="仿宋_GB2312" w:hAnsi="仿宋_GB2312" w:eastAsia="仿宋_GB2312" w:cs="仿宋_GB2312"/>
          <w:spacing w:val="-4"/>
          <w:sz w:val="32"/>
          <w:szCs w:val="32"/>
        </w:rPr>
        <w:t>量、创新</w:t>
      </w:r>
      <w:r>
        <w:rPr>
          <w:rFonts w:hint="eastAsia" w:ascii="仿宋_GB2312" w:hAnsi="仿宋_GB2312" w:eastAsia="仿宋_GB2312" w:cs="仿宋_GB2312"/>
          <w:spacing w:val="-2"/>
          <w:sz w:val="32"/>
          <w:szCs w:val="32"/>
        </w:rPr>
        <w:t>、品牌和效益四个维度进行评价。满分为100分</w:t>
      </w:r>
      <w:r>
        <w:rPr>
          <w:rFonts w:hint="eastAsia" w:ascii="仿宋_GB2312" w:hAnsi="仿宋_GB2312" w:eastAsia="仿宋_GB2312" w:cs="仿宋_GB2312"/>
          <w:spacing w:val="-2"/>
          <w:sz w:val="32"/>
          <w:szCs w:val="32"/>
          <w:lang w:val="en"/>
        </w:rPr>
        <w:t>,</w:t>
      </w:r>
      <w:r>
        <w:rPr>
          <w:rFonts w:hint="eastAsia" w:ascii="仿宋_GB2312" w:hAnsi="仿宋_GB2312" w:eastAsia="仿宋_GB2312" w:cs="仿宋_GB2312"/>
          <w:spacing w:val="-2"/>
          <w:sz w:val="32"/>
          <w:szCs w:val="32"/>
        </w:rPr>
        <w:t>质量标杆</w:t>
      </w:r>
      <w:r>
        <w:rPr>
          <w:rFonts w:hint="eastAsia" w:ascii="仿宋_GB2312" w:hAnsi="仿宋_GB2312" w:eastAsia="仿宋_GB2312" w:cs="仿宋_GB2312"/>
          <w:spacing w:val="-2"/>
          <w:sz w:val="32"/>
          <w:szCs w:val="32"/>
          <w:lang w:val="en"/>
        </w:rPr>
        <w:t>评分需在</w:t>
      </w:r>
      <w:r>
        <w:rPr>
          <w:rFonts w:hint="eastAsia" w:ascii="仿宋_GB2312" w:hAnsi="仿宋_GB2312" w:eastAsia="仿宋_GB2312" w:cs="仿宋_GB2312"/>
          <w:spacing w:val="-2"/>
          <w:sz w:val="32"/>
          <w:szCs w:val="32"/>
        </w:rPr>
        <w:t>80分以上。</w:t>
      </w:r>
    </w:p>
    <w:p w14:paraId="7F1CF8B4">
      <w:pPr>
        <w:spacing w:before="138" w:line="251" w:lineRule="auto"/>
        <w:ind w:right="123"/>
        <w:jc w:val="center"/>
        <w:rPr>
          <w:rFonts w:hint="eastAsia" w:ascii="永中黑体" w:hAnsi="永中黑体" w:eastAsia="永中黑体" w:cs="永中黑体"/>
          <w:spacing w:val="-2"/>
          <w:sz w:val="30"/>
          <w:szCs w:val="30"/>
        </w:rPr>
      </w:pPr>
      <w:r>
        <w:rPr>
          <w:rFonts w:hint="eastAsia" w:ascii="永中黑体" w:hAnsi="永中黑体" w:eastAsia="永中黑体" w:cs="永中黑体"/>
          <w:spacing w:val="-2"/>
          <w:sz w:val="30"/>
          <w:szCs w:val="30"/>
        </w:rPr>
        <w:t xml:space="preserve"> 质量标杆</w:t>
      </w:r>
      <w:r>
        <w:rPr>
          <w:rFonts w:hint="eastAsia" w:ascii="永中黑体" w:hAnsi="永中黑体" w:eastAsia="永中黑体" w:cs="永中黑体"/>
          <w:sz w:val="30"/>
          <w:szCs w:val="30"/>
          <w:lang w:val="en"/>
        </w:rPr>
        <w:t>评价指标体系</w:t>
      </w:r>
    </w:p>
    <w:tbl>
      <w:tblPr>
        <w:tblStyle w:val="4"/>
        <w:tblW w:w="9262" w:type="dxa"/>
        <w:tblInd w:w="93" w:type="dxa"/>
        <w:tblLayout w:type="autofit"/>
        <w:tblCellMar>
          <w:top w:w="0" w:type="dxa"/>
          <w:left w:w="108" w:type="dxa"/>
          <w:bottom w:w="0" w:type="dxa"/>
          <w:right w:w="108" w:type="dxa"/>
        </w:tblCellMar>
      </w:tblPr>
      <w:tblGrid>
        <w:gridCol w:w="1352"/>
        <w:gridCol w:w="1440"/>
        <w:gridCol w:w="6470"/>
      </w:tblGrid>
      <w:tr w14:paraId="5375F884">
        <w:tblPrEx>
          <w:tblCellMar>
            <w:top w:w="0" w:type="dxa"/>
            <w:left w:w="108" w:type="dxa"/>
            <w:bottom w:w="0" w:type="dxa"/>
            <w:right w:w="108" w:type="dxa"/>
          </w:tblCellMar>
        </w:tblPrEx>
        <w:trPr>
          <w:trHeight w:val="900" w:hRule="atLeast"/>
        </w:trPr>
        <w:tc>
          <w:tcPr>
            <w:tcW w:w="1352" w:type="dxa"/>
            <w:tcBorders>
              <w:top w:val="single" w:color="000000" w:sz="4" w:space="0"/>
              <w:left w:val="single" w:color="000000" w:sz="4" w:space="0"/>
              <w:bottom w:val="single" w:color="000000" w:sz="4" w:space="0"/>
              <w:right w:val="single" w:color="000000" w:sz="4" w:space="0"/>
            </w:tcBorders>
            <w:noWrap w:val="0"/>
            <w:vAlign w:val="center"/>
          </w:tcPr>
          <w:p w14:paraId="2DE5EC14">
            <w:pPr>
              <w:widowControl/>
              <w:jc w:val="center"/>
              <w:textAlignment w:val="center"/>
              <w:rPr>
                <w:rFonts w:ascii="方正黑体_GBK" w:hAnsi="方正黑体_GBK" w:eastAsia="方正黑体_GBK" w:cs="方正黑体_GBK"/>
                <w:color w:val="000000"/>
                <w:sz w:val="30"/>
                <w:szCs w:val="30"/>
              </w:rPr>
            </w:pPr>
            <w:r>
              <w:rPr>
                <w:rFonts w:hint="eastAsia" w:ascii="方正黑体_GBK" w:hAnsi="方正黑体_GBK" w:eastAsia="方正黑体_GBK" w:cs="方正黑体_GBK"/>
                <w:color w:val="000000"/>
                <w:kern w:val="0"/>
                <w:sz w:val="30"/>
                <w:szCs w:val="30"/>
                <w:lang w:bidi="ar"/>
              </w:rPr>
              <w:t>一级评审指标</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3B5A6441">
            <w:pPr>
              <w:widowControl/>
              <w:jc w:val="center"/>
              <w:textAlignment w:val="center"/>
              <w:rPr>
                <w:rFonts w:hint="eastAsia" w:ascii="方正黑体_GBK" w:hAnsi="方正黑体_GBK" w:eastAsia="方正黑体_GBK" w:cs="方正黑体_GBK"/>
                <w:color w:val="000000"/>
                <w:sz w:val="30"/>
                <w:szCs w:val="30"/>
              </w:rPr>
            </w:pPr>
            <w:r>
              <w:rPr>
                <w:rFonts w:hint="eastAsia" w:ascii="方正黑体_GBK" w:hAnsi="方正黑体_GBK" w:eastAsia="方正黑体_GBK" w:cs="方正黑体_GBK"/>
                <w:color w:val="000000"/>
                <w:kern w:val="0"/>
                <w:sz w:val="30"/>
                <w:szCs w:val="30"/>
                <w:lang w:bidi="ar"/>
              </w:rPr>
              <w:t xml:space="preserve">二级评 审指标            </w:t>
            </w:r>
          </w:p>
        </w:tc>
        <w:tc>
          <w:tcPr>
            <w:tcW w:w="6470" w:type="dxa"/>
            <w:tcBorders>
              <w:top w:val="single" w:color="000000" w:sz="4" w:space="0"/>
              <w:left w:val="single" w:color="000000" w:sz="4" w:space="0"/>
              <w:bottom w:val="single" w:color="000000" w:sz="4" w:space="0"/>
              <w:right w:val="single" w:color="000000" w:sz="4" w:space="0"/>
            </w:tcBorders>
            <w:noWrap w:val="0"/>
            <w:vAlign w:val="center"/>
          </w:tcPr>
          <w:p w14:paraId="53CFD8AF">
            <w:pPr>
              <w:widowControl/>
              <w:jc w:val="center"/>
              <w:textAlignment w:val="center"/>
              <w:rPr>
                <w:rFonts w:hint="eastAsia" w:ascii="方正黑体_GBK" w:hAnsi="方正黑体_GBK" w:eastAsia="方正黑体_GBK" w:cs="方正黑体_GBK"/>
                <w:color w:val="000000"/>
                <w:sz w:val="30"/>
                <w:szCs w:val="30"/>
              </w:rPr>
            </w:pPr>
            <w:r>
              <w:rPr>
                <w:rFonts w:hint="eastAsia" w:ascii="方正黑体_GBK" w:hAnsi="方正黑体_GBK" w:eastAsia="方正黑体_GBK" w:cs="方正黑体_GBK"/>
                <w:color w:val="000000"/>
                <w:kern w:val="0"/>
                <w:sz w:val="30"/>
                <w:szCs w:val="30"/>
                <w:lang w:bidi="ar"/>
              </w:rPr>
              <w:t>评价要点</w:t>
            </w:r>
          </w:p>
        </w:tc>
      </w:tr>
      <w:tr w14:paraId="6E96FF51">
        <w:tblPrEx>
          <w:tblCellMar>
            <w:top w:w="0" w:type="dxa"/>
            <w:left w:w="108" w:type="dxa"/>
            <w:bottom w:w="0" w:type="dxa"/>
            <w:right w:w="108" w:type="dxa"/>
          </w:tblCellMar>
        </w:tblPrEx>
        <w:trPr>
          <w:trHeight w:val="90" w:hRule="atLeast"/>
        </w:trPr>
        <w:tc>
          <w:tcPr>
            <w:tcW w:w="13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59121F6">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质量   （50分）</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3DC6FD0">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领导作用  （5分）</w:t>
            </w:r>
          </w:p>
        </w:tc>
        <w:tc>
          <w:tcPr>
            <w:tcW w:w="6470" w:type="dxa"/>
            <w:tcBorders>
              <w:top w:val="single" w:color="000000" w:sz="4" w:space="0"/>
              <w:left w:val="single" w:color="000000" w:sz="4" w:space="0"/>
              <w:bottom w:val="single" w:color="000000" w:sz="4" w:space="0"/>
              <w:right w:val="single" w:color="000000" w:sz="4" w:space="0"/>
            </w:tcBorders>
            <w:noWrap w:val="0"/>
            <w:vAlign w:val="center"/>
          </w:tcPr>
          <w:p w14:paraId="3C566642">
            <w:pPr>
              <w:widowControl/>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 xml:space="preserve">1、企业高层积极参与重要的质量决策和质量活动，有计划的推动组织的质量提升；                                                       2、质量战略目标明确，包括满足产品（服务）要求所需的内容，建立量化的关键绩效指标体系。                                   </w:t>
            </w:r>
          </w:p>
        </w:tc>
      </w:tr>
      <w:tr w14:paraId="01CDA6CE">
        <w:tblPrEx>
          <w:tblCellMar>
            <w:top w:w="0" w:type="dxa"/>
            <w:left w:w="108" w:type="dxa"/>
            <w:bottom w:w="0" w:type="dxa"/>
            <w:right w:w="108" w:type="dxa"/>
          </w:tblCellMar>
        </w:tblPrEx>
        <w:trPr>
          <w:trHeight w:val="1170" w:hRule="atLeast"/>
        </w:trPr>
        <w:tc>
          <w:tcPr>
            <w:tcW w:w="13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26A5DE">
            <w:pPr>
              <w:jc w:val="center"/>
              <w:rPr>
                <w:rFonts w:hint="eastAsia" w:ascii="仿宋_GB2312" w:hAnsi="宋体" w:eastAsia="仿宋_GB2312" w:cs="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237CE16">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质量基础  （10分）</w:t>
            </w:r>
          </w:p>
        </w:tc>
        <w:tc>
          <w:tcPr>
            <w:tcW w:w="6470" w:type="dxa"/>
            <w:tcBorders>
              <w:top w:val="single" w:color="000000" w:sz="4" w:space="0"/>
              <w:left w:val="single" w:color="000000" w:sz="4" w:space="0"/>
              <w:bottom w:val="single" w:color="000000" w:sz="4" w:space="0"/>
              <w:right w:val="single" w:color="000000" w:sz="4" w:space="0"/>
            </w:tcBorders>
            <w:noWrap w:val="0"/>
            <w:vAlign w:val="center"/>
          </w:tcPr>
          <w:p w14:paraId="02E203BA">
            <w:pPr>
              <w:widowControl/>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积极推进质量基础建设，包括计量、标准、检验检测、认证认可等建设情况并取得较好的效果或效益。</w:t>
            </w:r>
          </w:p>
        </w:tc>
      </w:tr>
      <w:tr w14:paraId="6F78CEE7">
        <w:tblPrEx>
          <w:tblCellMar>
            <w:top w:w="0" w:type="dxa"/>
            <w:left w:w="108" w:type="dxa"/>
            <w:bottom w:w="0" w:type="dxa"/>
            <w:right w:w="108" w:type="dxa"/>
          </w:tblCellMar>
        </w:tblPrEx>
        <w:trPr>
          <w:trHeight w:val="3060" w:hRule="atLeast"/>
        </w:trPr>
        <w:tc>
          <w:tcPr>
            <w:tcW w:w="13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85DB5D">
            <w:pPr>
              <w:jc w:val="center"/>
              <w:rPr>
                <w:rFonts w:hint="eastAsia" w:ascii="仿宋_GB2312" w:hAnsi="宋体" w:eastAsia="仿宋_GB2312" w:cs="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8953CCF">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质量管理  （20分）</w:t>
            </w:r>
          </w:p>
        </w:tc>
        <w:tc>
          <w:tcPr>
            <w:tcW w:w="6470" w:type="dxa"/>
            <w:tcBorders>
              <w:top w:val="single" w:color="000000" w:sz="4" w:space="0"/>
              <w:left w:val="single" w:color="000000" w:sz="4" w:space="0"/>
              <w:bottom w:val="single" w:color="000000" w:sz="4" w:space="0"/>
              <w:right w:val="single" w:color="000000" w:sz="4" w:space="0"/>
            </w:tcBorders>
            <w:noWrap w:val="0"/>
            <w:vAlign w:val="center"/>
          </w:tcPr>
          <w:p w14:paraId="3D1CE1F6">
            <w:pPr>
              <w:widowControl/>
              <w:numPr>
                <w:ilvl w:val="0"/>
                <w:numId w:val="1"/>
              </w:numPr>
              <w:jc w:val="left"/>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明确各相关方要求，识别并确定关键过程并将其转化成包括质量特性在内的绩效监控指标情况；</w:t>
            </w:r>
          </w:p>
          <w:p w14:paraId="3E508C5E">
            <w:pPr>
              <w:widowControl/>
              <w:numPr>
                <w:ilvl w:val="0"/>
                <w:numId w:val="1"/>
              </w:numPr>
              <w:jc w:val="left"/>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运用数字化手段进行重点业务环节流程再造，提升质量过程控制的智能化水平。</w:t>
            </w:r>
          </w:p>
          <w:p w14:paraId="497BE2FC">
            <w:pPr>
              <w:widowControl/>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3.开展监测与控制、改进和创新，推动影响质量水平的关键过程的改进和创新，提升组织核心竞争力。</w:t>
            </w:r>
          </w:p>
        </w:tc>
      </w:tr>
      <w:tr w14:paraId="156CA661">
        <w:tblPrEx>
          <w:tblCellMar>
            <w:top w:w="0" w:type="dxa"/>
            <w:left w:w="108" w:type="dxa"/>
            <w:bottom w:w="0" w:type="dxa"/>
            <w:right w:w="108" w:type="dxa"/>
          </w:tblCellMar>
        </w:tblPrEx>
        <w:trPr>
          <w:trHeight w:val="1620" w:hRule="atLeast"/>
        </w:trPr>
        <w:tc>
          <w:tcPr>
            <w:tcW w:w="13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92B405">
            <w:pPr>
              <w:jc w:val="center"/>
              <w:rPr>
                <w:rFonts w:hint="eastAsia" w:ascii="仿宋_GB2312" w:hAnsi="宋体" w:eastAsia="仿宋_GB2312" w:cs="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FB30E3E">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质量安全  （5分）</w:t>
            </w:r>
          </w:p>
        </w:tc>
        <w:tc>
          <w:tcPr>
            <w:tcW w:w="6470" w:type="dxa"/>
            <w:tcBorders>
              <w:top w:val="single" w:color="000000" w:sz="4" w:space="0"/>
              <w:left w:val="single" w:color="000000" w:sz="4" w:space="0"/>
              <w:bottom w:val="single" w:color="000000" w:sz="4" w:space="0"/>
              <w:right w:val="single" w:color="000000" w:sz="4" w:space="0"/>
            </w:tcBorders>
            <w:noWrap w:val="0"/>
            <w:vAlign w:val="center"/>
          </w:tcPr>
          <w:p w14:paraId="772E3F4E">
            <w:pPr>
              <w:widowControl/>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1、落实企业主体责任，建立质量问责制度和机制；</w:t>
            </w:r>
            <w:r>
              <w:rPr>
                <w:rFonts w:hint="eastAsia" w:ascii="仿宋_GB2312" w:hAnsi="宋体" w:eastAsia="仿宋_GB2312" w:cs="仿宋_GB2312"/>
                <w:color w:val="000000"/>
                <w:kern w:val="0"/>
                <w:sz w:val="28"/>
                <w:szCs w:val="28"/>
                <w:lang w:bidi="ar"/>
              </w:rPr>
              <w:br w:type="textWrapping"/>
            </w:r>
            <w:r>
              <w:rPr>
                <w:rFonts w:hint="eastAsia" w:ascii="仿宋_GB2312" w:hAnsi="宋体" w:eastAsia="仿宋_GB2312" w:cs="仿宋_GB2312"/>
                <w:color w:val="000000"/>
                <w:kern w:val="0"/>
                <w:sz w:val="28"/>
                <w:szCs w:val="28"/>
                <w:lang w:bidi="ar"/>
              </w:rPr>
              <w:t>2.建立风险管理机制，对可能发生的突发事件和危险情况作好应急准备，实现防范风险的目标。</w:t>
            </w:r>
          </w:p>
        </w:tc>
      </w:tr>
      <w:tr w14:paraId="2C3C295C">
        <w:tblPrEx>
          <w:tblCellMar>
            <w:top w:w="0" w:type="dxa"/>
            <w:left w:w="108" w:type="dxa"/>
            <w:bottom w:w="0" w:type="dxa"/>
            <w:right w:w="108" w:type="dxa"/>
          </w:tblCellMar>
        </w:tblPrEx>
        <w:trPr>
          <w:trHeight w:val="1420" w:hRule="atLeast"/>
        </w:trPr>
        <w:tc>
          <w:tcPr>
            <w:tcW w:w="13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D8316E">
            <w:pPr>
              <w:jc w:val="center"/>
              <w:rPr>
                <w:rFonts w:hint="eastAsia" w:ascii="仿宋_GB2312" w:hAnsi="宋体" w:eastAsia="仿宋_GB2312" w:cs="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EE01790">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质量水平  （10分）</w:t>
            </w:r>
          </w:p>
        </w:tc>
        <w:tc>
          <w:tcPr>
            <w:tcW w:w="6470" w:type="dxa"/>
            <w:tcBorders>
              <w:top w:val="single" w:color="000000" w:sz="4" w:space="0"/>
              <w:left w:val="single" w:color="000000" w:sz="4" w:space="0"/>
              <w:bottom w:val="single" w:color="000000" w:sz="4" w:space="0"/>
              <w:right w:val="single" w:color="000000" w:sz="4" w:space="0"/>
            </w:tcBorders>
            <w:noWrap w:val="0"/>
            <w:vAlign w:val="center"/>
          </w:tcPr>
          <w:p w14:paraId="3C014316">
            <w:pPr>
              <w:widowControl/>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1、产品执行标准先进性情况；2、产品质量所处行业地位与竞争对手、国内外产品的分析对比情况。</w:t>
            </w:r>
          </w:p>
        </w:tc>
      </w:tr>
      <w:tr w14:paraId="7B202547">
        <w:tblPrEx>
          <w:tblCellMar>
            <w:top w:w="0" w:type="dxa"/>
            <w:left w:w="108" w:type="dxa"/>
            <w:bottom w:w="0" w:type="dxa"/>
            <w:right w:w="108" w:type="dxa"/>
          </w:tblCellMar>
        </w:tblPrEx>
        <w:trPr>
          <w:trHeight w:val="1150" w:hRule="atLeast"/>
        </w:trPr>
        <w:tc>
          <w:tcPr>
            <w:tcW w:w="13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250445B">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创新  （20分）</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2423393">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创新能力  （8分）</w:t>
            </w:r>
          </w:p>
        </w:tc>
        <w:tc>
          <w:tcPr>
            <w:tcW w:w="6470" w:type="dxa"/>
            <w:tcBorders>
              <w:top w:val="single" w:color="000000" w:sz="4" w:space="0"/>
              <w:left w:val="single" w:color="000000" w:sz="4" w:space="0"/>
              <w:bottom w:val="single" w:color="000000" w:sz="4" w:space="0"/>
              <w:right w:val="single" w:color="000000" w:sz="4" w:space="0"/>
            </w:tcBorders>
            <w:noWrap w:val="0"/>
            <w:vAlign w:val="center"/>
          </w:tcPr>
          <w:p w14:paraId="447E3E6C">
            <w:pPr>
              <w:widowControl/>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管理机制创新、创新平台建设及研发投入情况。</w:t>
            </w:r>
          </w:p>
        </w:tc>
      </w:tr>
      <w:tr w14:paraId="3ECB559A">
        <w:tblPrEx>
          <w:tblCellMar>
            <w:top w:w="0" w:type="dxa"/>
            <w:left w:w="108" w:type="dxa"/>
            <w:bottom w:w="0" w:type="dxa"/>
            <w:right w:w="108" w:type="dxa"/>
          </w:tblCellMar>
        </w:tblPrEx>
        <w:trPr>
          <w:trHeight w:val="1080" w:hRule="atLeast"/>
        </w:trPr>
        <w:tc>
          <w:tcPr>
            <w:tcW w:w="13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380538">
            <w:pPr>
              <w:jc w:val="center"/>
              <w:rPr>
                <w:rFonts w:hint="eastAsia" w:ascii="仿宋_GB2312" w:hAnsi="宋体" w:eastAsia="仿宋_GB2312" w:cs="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9C5740D">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技术创新  （8分）</w:t>
            </w:r>
          </w:p>
        </w:tc>
        <w:tc>
          <w:tcPr>
            <w:tcW w:w="6470" w:type="dxa"/>
            <w:tcBorders>
              <w:top w:val="single" w:color="000000" w:sz="4" w:space="0"/>
              <w:left w:val="single" w:color="000000" w:sz="4" w:space="0"/>
              <w:bottom w:val="single" w:color="000000" w:sz="4" w:space="0"/>
              <w:right w:val="single" w:color="000000" w:sz="4" w:space="0"/>
            </w:tcBorders>
            <w:noWrap w:val="0"/>
            <w:vAlign w:val="center"/>
          </w:tcPr>
          <w:p w14:paraId="5BF22ACF">
            <w:pPr>
              <w:widowControl/>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技术先进性及自主可控情况。</w:t>
            </w:r>
          </w:p>
        </w:tc>
      </w:tr>
      <w:tr w14:paraId="7D91CCEA">
        <w:tblPrEx>
          <w:tblCellMar>
            <w:top w:w="0" w:type="dxa"/>
            <w:left w:w="108" w:type="dxa"/>
            <w:bottom w:w="0" w:type="dxa"/>
            <w:right w:w="108" w:type="dxa"/>
          </w:tblCellMar>
        </w:tblPrEx>
        <w:trPr>
          <w:trHeight w:val="940" w:hRule="atLeast"/>
        </w:trPr>
        <w:tc>
          <w:tcPr>
            <w:tcW w:w="13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AD6081">
            <w:pPr>
              <w:jc w:val="center"/>
              <w:rPr>
                <w:rFonts w:hint="eastAsia" w:ascii="仿宋_GB2312" w:hAnsi="宋体" w:eastAsia="仿宋_GB2312" w:cs="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74A0E017">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创新成果  （4分）</w:t>
            </w:r>
          </w:p>
        </w:tc>
        <w:tc>
          <w:tcPr>
            <w:tcW w:w="6470" w:type="dxa"/>
            <w:tcBorders>
              <w:top w:val="single" w:color="000000" w:sz="4" w:space="0"/>
              <w:left w:val="single" w:color="000000" w:sz="4" w:space="0"/>
              <w:bottom w:val="single" w:color="000000" w:sz="4" w:space="0"/>
              <w:right w:val="single" w:color="000000" w:sz="4" w:space="0"/>
            </w:tcBorders>
            <w:noWrap w:val="0"/>
            <w:vAlign w:val="center"/>
          </w:tcPr>
          <w:p w14:paraId="269CC940">
            <w:pPr>
              <w:widowControl/>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获得科技奖励、专利、标准制修订相关情况。</w:t>
            </w:r>
          </w:p>
        </w:tc>
      </w:tr>
      <w:tr w14:paraId="5ED54094">
        <w:tblPrEx>
          <w:tblCellMar>
            <w:top w:w="0" w:type="dxa"/>
            <w:left w:w="108" w:type="dxa"/>
            <w:bottom w:w="0" w:type="dxa"/>
            <w:right w:w="108" w:type="dxa"/>
          </w:tblCellMar>
        </w:tblPrEx>
        <w:trPr>
          <w:trHeight w:val="800" w:hRule="atLeast"/>
        </w:trPr>
        <w:tc>
          <w:tcPr>
            <w:tcW w:w="13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9A5012C">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品牌  （10分）</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4CCF677">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品牌管理  （4分）</w:t>
            </w:r>
          </w:p>
        </w:tc>
        <w:tc>
          <w:tcPr>
            <w:tcW w:w="6470" w:type="dxa"/>
            <w:tcBorders>
              <w:top w:val="single" w:color="000000" w:sz="4" w:space="0"/>
              <w:left w:val="single" w:color="000000" w:sz="4" w:space="0"/>
              <w:bottom w:val="single" w:color="000000" w:sz="4" w:space="0"/>
              <w:right w:val="single" w:color="000000" w:sz="4" w:space="0"/>
            </w:tcBorders>
            <w:noWrap w:val="0"/>
            <w:vAlign w:val="center"/>
          </w:tcPr>
          <w:p w14:paraId="57D178B4">
            <w:pPr>
              <w:widowControl/>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推进品牌建设及相关制度建立情况。</w:t>
            </w:r>
          </w:p>
        </w:tc>
      </w:tr>
      <w:tr w14:paraId="458B9E8E">
        <w:tblPrEx>
          <w:tblCellMar>
            <w:top w:w="0" w:type="dxa"/>
            <w:left w:w="108" w:type="dxa"/>
            <w:bottom w:w="0" w:type="dxa"/>
            <w:right w:w="108" w:type="dxa"/>
          </w:tblCellMar>
        </w:tblPrEx>
        <w:trPr>
          <w:trHeight w:val="820" w:hRule="atLeast"/>
        </w:trPr>
        <w:tc>
          <w:tcPr>
            <w:tcW w:w="13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098004">
            <w:pPr>
              <w:jc w:val="center"/>
              <w:rPr>
                <w:rFonts w:hint="eastAsia" w:ascii="仿宋_GB2312" w:hAnsi="宋体" w:eastAsia="仿宋_GB2312" w:cs="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21DD2D0">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品牌成效  （6分）</w:t>
            </w:r>
          </w:p>
        </w:tc>
        <w:tc>
          <w:tcPr>
            <w:tcW w:w="6470" w:type="dxa"/>
            <w:tcBorders>
              <w:top w:val="single" w:color="000000" w:sz="4" w:space="0"/>
              <w:left w:val="single" w:color="000000" w:sz="4" w:space="0"/>
              <w:bottom w:val="single" w:color="000000" w:sz="4" w:space="0"/>
              <w:right w:val="single" w:color="000000" w:sz="4" w:space="0"/>
            </w:tcBorders>
            <w:noWrap w:val="0"/>
            <w:vAlign w:val="center"/>
          </w:tcPr>
          <w:p w14:paraId="020686A1">
            <w:pPr>
              <w:widowControl/>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品牌带来的效益和竞争优势。</w:t>
            </w:r>
          </w:p>
        </w:tc>
      </w:tr>
      <w:tr w14:paraId="2C5AE1EE">
        <w:tblPrEx>
          <w:tblCellMar>
            <w:top w:w="0" w:type="dxa"/>
            <w:left w:w="108" w:type="dxa"/>
            <w:bottom w:w="0" w:type="dxa"/>
            <w:right w:w="108" w:type="dxa"/>
          </w:tblCellMar>
        </w:tblPrEx>
        <w:trPr>
          <w:trHeight w:val="720" w:hRule="atLeast"/>
        </w:trPr>
        <w:tc>
          <w:tcPr>
            <w:tcW w:w="13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287FBAB">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效益  （20分）</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8B88B24">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经济效益  （15分）</w:t>
            </w:r>
          </w:p>
        </w:tc>
        <w:tc>
          <w:tcPr>
            <w:tcW w:w="6470" w:type="dxa"/>
            <w:tcBorders>
              <w:top w:val="single" w:color="000000" w:sz="4" w:space="0"/>
              <w:left w:val="single" w:color="000000" w:sz="4" w:space="0"/>
              <w:bottom w:val="single" w:color="000000" w:sz="4" w:space="0"/>
              <w:right w:val="single" w:color="000000" w:sz="4" w:space="0"/>
            </w:tcBorders>
            <w:noWrap w:val="0"/>
            <w:vAlign w:val="center"/>
          </w:tcPr>
          <w:p w14:paraId="52F6B1B5">
            <w:pPr>
              <w:widowControl/>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企业上一年度主营业务收入、利润、纳税等情况。</w:t>
            </w:r>
          </w:p>
        </w:tc>
      </w:tr>
      <w:tr w14:paraId="63D6144E">
        <w:tblPrEx>
          <w:tblCellMar>
            <w:top w:w="0" w:type="dxa"/>
            <w:left w:w="108" w:type="dxa"/>
            <w:bottom w:w="0" w:type="dxa"/>
            <w:right w:w="108" w:type="dxa"/>
          </w:tblCellMar>
        </w:tblPrEx>
        <w:trPr>
          <w:trHeight w:val="900" w:hRule="atLeast"/>
        </w:trPr>
        <w:tc>
          <w:tcPr>
            <w:tcW w:w="13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6BB5B1">
            <w:pPr>
              <w:jc w:val="center"/>
              <w:rPr>
                <w:rFonts w:hint="eastAsia" w:ascii="仿宋_GB2312" w:hAnsi="宋体" w:eastAsia="仿宋_GB2312" w:cs="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354B0426">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社会效益（5分）</w:t>
            </w:r>
          </w:p>
        </w:tc>
        <w:tc>
          <w:tcPr>
            <w:tcW w:w="6470" w:type="dxa"/>
            <w:tcBorders>
              <w:top w:val="single" w:color="000000" w:sz="4" w:space="0"/>
              <w:left w:val="single" w:color="000000" w:sz="4" w:space="0"/>
              <w:bottom w:val="single" w:color="000000" w:sz="4" w:space="0"/>
              <w:right w:val="single" w:color="000000" w:sz="4" w:space="0"/>
            </w:tcBorders>
            <w:noWrap w:val="0"/>
            <w:vAlign w:val="center"/>
          </w:tcPr>
          <w:p w14:paraId="580827FF">
            <w:pPr>
              <w:widowControl/>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社会荣誉取得及在履行社会责任、行业引领发展方面情况。</w:t>
            </w:r>
          </w:p>
        </w:tc>
      </w:tr>
    </w:tbl>
    <w:p w14:paraId="0F52CC34"/>
    <w:p w14:paraId="5B5027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永中黑体">
    <w:altName w:val="微软雅黑"/>
    <w:panose1 w:val="02010600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6BAC25"/>
    <w:multiLevelType w:val="singleLevel"/>
    <w:tmpl w:val="7F6BAC2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57A020F7"/>
    <w:rsid w:val="57A02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560" w:lineRule="exact"/>
    </w:pPr>
    <w:rPr>
      <w:rFonts w:ascii="微软雅黑" w:hAnsi="微软雅黑"/>
      <w:sz w:val="24"/>
      <w:lang w:eastAsia="en-US"/>
    </w:rPr>
  </w:style>
  <w:style w:type="paragraph" w:styleId="3">
    <w:name w:val="Normal (Web)"/>
    <w:basedOn w:val="1"/>
    <w:qFormat/>
    <w:uiPriority w:val="0"/>
    <w:pPr>
      <w:spacing w:beforeAutospacing="1" w:afterAutospacing="1"/>
      <w:jc w:val="left"/>
    </w:pPr>
    <w:rPr>
      <w:rFonts w:ascii="Calibri" w:hAnsi="Calibri" w:eastAsia="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2025-01-09T02:02:00Z</dcterms:created>
  <dc:creator>杨祖德</dc:creator>
  <cp:lastModifiedBy>杨祖德</cp:lastModifiedBy>
  <dcterms:modified xsi:type="dcterms:W3CDTF">2025-01-09T02:02:48Z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B435028A13044066B395B50E96093E3D_11</vt:lpwstr>
  </property>
</Properties>
</file>