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8C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 w14:paraId="51F8B2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</w:rPr>
      </w:pPr>
    </w:p>
    <w:p w14:paraId="2C76D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  <w:t>2025年数字化转型评估诊断企业申请表</w:t>
      </w:r>
    </w:p>
    <w:bookmarkEnd w:id="0"/>
    <w:p w14:paraId="411F5A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</w:rPr>
      </w:pPr>
    </w:p>
    <w:tbl>
      <w:tblPr>
        <w:tblStyle w:val="7"/>
        <w:tblW w:w="92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204"/>
        <w:gridCol w:w="1420"/>
        <w:gridCol w:w="2222"/>
        <w:gridCol w:w="1805"/>
      </w:tblGrid>
      <w:tr w14:paraId="46723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</w:rPr>
              <w:t>企业基本情况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7852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5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val="en" w:eastAsia="zh-CN"/>
              </w:rPr>
              <w:t>市州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XX县（市区）</w:t>
            </w:r>
          </w:p>
        </w:tc>
      </w:tr>
      <w:tr w14:paraId="787F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8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通用评估等级</w:t>
            </w:r>
            <w:r>
              <w:rPr>
                <w:rStyle w:val="9"/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5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2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 xml:space="preserve">L1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 xml:space="preserve">L2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 xml:space="preserve">L3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 xml:space="preserve">L4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>L5</w:t>
            </w:r>
          </w:p>
        </w:tc>
      </w:tr>
      <w:tr w14:paraId="17C68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5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申请诊断级别</w:t>
            </w:r>
            <w:r>
              <w:rPr>
                <w:rStyle w:val="9"/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5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 xml:space="preserve">工厂级诊断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>产线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eastAsia="zh-CN"/>
              </w:rPr>
              <w:t>（车间）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 xml:space="preserve">级诊断 </w:t>
            </w:r>
          </w:p>
        </w:tc>
      </w:tr>
      <w:tr w14:paraId="3488C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C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3C32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9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1CF1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B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5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3677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B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2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28FA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年主营业务收入</w:t>
            </w: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6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765D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F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200" w:hanging="1205" w:hangingChars="500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企业所属行业类别：</w:t>
            </w:r>
          </w:p>
          <w:p w14:paraId="7F0C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200" w:hanging="1200" w:hangingChars="500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石化化工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钢铁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有色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建材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机械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航空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船舶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AB7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200" w:hanging="1200" w:hangingChars="500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汽车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电力装备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轻工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纺织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食品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医药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4B8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200" w:hanging="1200" w:hangingChars="500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电子信息制造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</w:rPr>
              <w:t>其他行业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</w:t>
            </w:r>
          </w:p>
        </w:tc>
      </w:tr>
      <w:tr w14:paraId="057DD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D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E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企业基本情况介绍：</w:t>
            </w:r>
          </w:p>
          <w:p w14:paraId="0AB5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注：简要介绍企业的基本情况（包括组织架构、主营业务等）、数字化基本情况（数字化人才、数字化投入、数字化设施设备等）</w:t>
            </w: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>（400字以内）</w:t>
            </w:r>
          </w:p>
        </w:tc>
      </w:tr>
      <w:tr w14:paraId="72E88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</w:rPr>
              <w:t>声明</w:t>
            </w:r>
          </w:p>
        </w:tc>
        <w:tc>
          <w:tcPr>
            <w:tcW w:w="8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>我单位用于申报及现场审核时所提供的所有材料，均真实、完整、准确；</w:t>
            </w:r>
          </w:p>
          <w:p w14:paraId="4330C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>我单位申请诊断所涉及的活动均符合国家相关法律法规要求;</w:t>
            </w:r>
          </w:p>
          <w:p w14:paraId="3CBF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>以上声明如有不符，我单位愿承担相应的责任。</w:t>
            </w:r>
          </w:p>
          <w:p w14:paraId="5931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  <w:t>法定代表人签章：           公章：                  年   月   日</w:t>
            </w:r>
          </w:p>
        </w:tc>
      </w:tr>
    </w:tbl>
    <w:p w14:paraId="37EF7742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91C6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0509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0509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3D144E7">
      <w:pPr>
        <w:pStyle w:val="6"/>
        <w:rPr>
          <w:rFonts w:hint="default" w:ascii="Times New Roman" w:hAnsi="Times New Roman" w:eastAsia="楷体" w:cs="Times New Roman"/>
          <w:b/>
          <w:bCs/>
          <w:color w:val="auto"/>
          <w:lang w:eastAsia="zh-CN"/>
        </w:rPr>
      </w:pPr>
      <w:r>
        <w:rPr>
          <w:rStyle w:val="9"/>
          <w:rFonts w:hint="default" w:ascii="Times New Roman" w:hAnsi="Times New Roman" w:eastAsia="楷体" w:cs="Times New Roman"/>
          <w:color w:val="auto"/>
        </w:rPr>
        <w:footnoteRef/>
      </w:r>
      <w:r>
        <w:rPr>
          <w:rFonts w:hint="default" w:ascii="Times New Roman" w:hAnsi="Times New Roman" w:eastAsia="楷体" w:cs="Times New Roman"/>
          <w:color w:val="auto"/>
        </w:rPr>
        <w:t xml:space="preserve"> </w:t>
      </w:r>
      <w:r>
        <w:rPr>
          <w:rFonts w:hint="eastAsia" w:ascii="Times New Roman" w:hAnsi="Times New Roman" w:eastAsia="楷体" w:cs="Times New Roman"/>
          <w:color w:val="auto"/>
          <w:lang w:eastAsia="zh-CN"/>
        </w:rPr>
        <w:t>通过</w:t>
      </w:r>
      <w:r>
        <w:rPr>
          <w:rFonts w:hint="eastAsia" w:ascii="Times New Roman" w:hAnsi="Times New Roman" w:eastAsia="楷体" w:cs="Times New Roman"/>
          <w:color w:val="auto"/>
          <w:lang w:val="en-US" w:eastAsia="zh-CN"/>
        </w:rPr>
        <w:t>工业和信息化部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“数字工信”平台开展</w:t>
      </w:r>
      <w:r>
        <w:rPr>
          <w:rFonts w:hint="eastAsia" w:ascii="Times New Roman" w:hAnsi="Times New Roman" w:eastAsia="楷体" w:cs="Times New Roman"/>
          <w:color w:val="auto"/>
          <w:lang w:eastAsia="zh-CN"/>
        </w:rPr>
        <w:t>线上自评估确定“通用评估等级”，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网址：https://szgx.miit.gov.cn/zzyszh/。</w:t>
      </w:r>
    </w:p>
  </w:footnote>
  <w:footnote w:id="1">
    <w:p w14:paraId="4A45E774">
      <w:pPr>
        <w:pStyle w:val="6"/>
        <w:rPr>
          <w:rFonts w:hint="eastAsia" w:ascii="Times New Roman" w:hAnsi="Times New Roman" w:eastAsia="楷体" w:cs="Times New Roman"/>
          <w:color w:val="auto"/>
          <w:lang w:eastAsia="zh-CN"/>
        </w:rPr>
      </w:pPr>
      <w:r>
        <w:rPr>
          <w:rStyle w:val="9"/>
          <w:rFonts w:hint="default" w:ascii="Times New Roman" w:hAnsi="Times New Roman" w:eastAsia="楷体" w:cs="Times New Roman"/>
          <w:color w:val="auto"/>
        </w:rPr>
        <w:footnoteRef/>
      </w:r>
      <w:r>
        <w:rPr>
          <w:rFonts w:hint="default" w:ascii="Times New Roman" w:hAnsi="Times New Roman" w:eastAsia="楷体" w:cs="Times New Roman"/>
          <w:color w:val="auto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</w:rPr>
        <w:t>‌工厂级诊断：</w:t>
      </w:r>
      <w:r>
        <w:rPr>
          <w:rFonts w:hint="default" w:ascii="Times New Roman" w:hAnsi="Times New Roman" w:eastAsia="楷体" w:cs="Times New Roman"/>
          <w:color w:val="auto"/>
        </w:rPr>
        <w:t>覆盖企业整体数字化水平评估，聚焦“研产供销服”全价值链环节，系统评估</w:t>
      </w:r>
      <w:r>
        <w:rPr>
          <w:rFonts w:hint="eastAsia" w:ascii="Times New Roman" w:hAnsi="Times New Roman" w:eastAsia="楷体" w:cs="Times New Roman"/>
          <w:color w:val="auto"/>
          <w:lang w:eastAsia="zh-CN"/>
        </w:rPr>
        <w:t>企业</w:t>
      </w:r>
      <w:r>
        <w:rPr>
          <w:rFonts w:hint="default" w:ascii="Times New Roman" w:hAnsi="Times New Roman" w:eastAsia="楷体" w:cs="Times New Roman"/>
          <w:color w:val="auto"/>
        </w:rPr>
        <w:t>数字化能力与协同水平；</w:t>
      </w:r>
      <w:r>
        <w:rPr>
          <w:rFonts w:hint="default" w:ascii="Times New Roman" w:hAnsi="Times New Roman" w:eastAsia="楷体" w:cs="Times New Roman"/>
          <w:b/>
          <w:bCs/>
          <w:color w:val="auto"/>
        </w:rPr>
        <w:t>产线</w:t>
      </w:r>
      <w:r>
        <w:rPr>
          <w:rFonts w:hint="eastAsia" w:ascii="Times New Roman" w:hAnsi="Times New Roman" w:eastAsia="楷体" w:cs="Times New Roman"/>
          <w:b/>
          <w:bCs/>
          <w:color w:val="auto"/>
          <w:lang w:eastAsia="zh-CN"/>
        </w:rPr>
        <w:t>（车间）</w:t>
      </w:r>
      <w:r>
        <w:rPr>
          <w:rFonts w:hint="default" w:ascii="Times New Roman" w:hAnsi="Times New Roman" w:eastAsia="楷体" w:cs="Times New Roman"/>
          <w:b/>
          <w:bCs/>
          <w:color w:val="auto"/>
        </w:rPr>
        <w:t>级诊断：</w:t>
      </w:r>
      <w:r>
        <w:rPr>
          <w:rFonts w:hint="default" w:ascii="Times New Roman" w:hAnsi="Times New Roman" w:eastAsia="楷体" w:cs="Times New Roman"/>
          <w:color w:val="auto"/>
        </w:rPr>
        <w:t>聚焦单条生产线或车间的智能化改造，重点评估智能工位覆盖率、设备联网率、自动化控制水平及生产过程优化能力</w:t>
      </w:r>
      <w:r>
        <w:rPr>
          <w:rFonts w:hint="eastAsia" w:ascii="Times New Roman" w:hAnsi="Times New Roman" w:eastAsia="楷体" w:cs="Times New Roman"/>
          <w:color w:val="auto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5265BB5"/>
    <w:rsid w:val="252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 w:line="360" w:lineRule="auto"/>
      <w:ind w:firstLine="200" w:firstLineChars="200"/>
    </w:pPr>
    <w:rPr>
      <w:rFonts w:ascii="Arial" w:hAnsi="Arial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2025-10-10T08:28:00Z</dcterms:created>
  <dc:creator>杨祖德</dc:creator>
  <cp:lastModifiedBy>杨祖德</cp:lastModifiedBy>
  <dcterms:modified xsi:type="dcterms:W3CDTF">2025-10-10T08:29:11Z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159B5A3C16254A9AA1B0A1E560C94F2E_11</vt:lpwstr>
  </property>
</Properties>
</file>