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84E09">
      <w:pPr>
        <w:pStyle w:val="4"/>
        <w:adjustRightInd w:val="0"/>
        <w:snapToGrid w:val="0"/>
        <w:spacing w:line="600" w:lineRule="exact"/>
        <w:jc w:val="both"/>
        <w:rPr>
          <w:rFonts w:ascii="Times New Roman" w:hAnsi="Times New Roman" w:eastAsia="黑体"/>
          <w:kern w:val="21"/>
          <w:sz w:val="32"/>
          <w:szCs w:val="32"/>
        </w:rPr>
      </w:pPr>
      <w:r>
        <w:rPr>
          <w:rFonts w:ascii="Times New Roman" w:hAnsi="Times New Roman" w:eastAsia="黑体"/>
          <w:kern w:val="21"/>
          <w:sz w:val="32"/>
          <w:szCs w:val="32"/>
        </w:rPr>
        <w:t>附件2</w:t>
      </w:r>
    </w:p>
    <w:p w14:paraId="6E6D80F2">
      <w:pPr>
        <w:pStyle w:val="4"/>
        <w:adjustRightInd w:val="0"/>
        <w:snapToGrid w:val="0"/>
        <w:spacing w:line="600" w:lineRule="exact"/>
        <w:jc w:val="center"/>
        <w:rPr>
          <w:rFonts w:ascii="Times New Roman" w:hAnsi="Times New Roman" w:eastAsia="方正小标宋简体"/>
          <w:color w:val="000000"/>
          <w:kern w:val="0"/>
          <w:sz w:val="40"/>
          <w:szCs w:val="40"/>
          <w:lang w:bidi="ar"/>
        </w:rPr>
      </w:pPr>
      <w:bookmarkStart w:id="0" w:name="_GoBack"/>
      <w:r>
        <w:rPr>
          <w:rFonts w:ascii="Times New Roman" w:hAnsi="Times New Roman" w:eastAsia="方正小标宋简体"/>
          <w:color w:val="000000"/>
          <w:kern w:val="0"/>
          <w:sz w:val="40"/>
          <w:szCs w:val="40"/>
          <w:lang w:bidi="ar"/>
        </w:rPr>
        <w:t>节能减排补助资金（县域充换电设施补短板试点县预拨奖励资金）</w:t>
      </w:r>
    </w:p>
    <w:p w14:paraId="07413BDB">
      <w:pPr>
        <w:pStyle w:val="4"/>
        <w:adjustRightInd w:val="0"/>
        <w:snapToGrid w:val="0"/>
        <w:spacing w:line="600" w:lineRule="exact"/>
        <w:jc w:val="center"/>
        <w:rPr>
          <w:rFonts w:ascii="Times New Roman" w:hAnsi="Times New Roman" w:eastAsia="方正小标宋简体"/>
          <w:color w:val="000000"/>
          <w:kern w:val="0"/>
          <w:sz w:val="40"/>
          <w:szCs w:val="40"/>
          <w:lang w:bidi="ar"/>
        </w:rPr>
      </w:pPr>
      <w:r>
        <w:rPr>
          <w:rFonts w:ascii="Times New Roman" w:hAnsi="Times New Roman" w:eastAsia="方正小标宋简体"/>
          <w:color w:val="000000"/>
          <w:kern w:val="0"/>
          <w:sz w:val="40"/>
          <w:szCs w:val="40"/>
          <w:lang w:bidi="ar"/>
        </w:rPr>
        <w:t>转移支付湖南省绩效自评表</w:t>
      </w:r>
    </w:p>
    <w:bookmarkEnd w:id="0"/>
    <w:p w14:paraId="31D9570A">
      <w:pPr>
        <w:pStyle w:val="4"/>
        <w:adjustRightInd w:val="0"/>
        <w:snapToGrid w:val="0"/>
        <w:spacing w:line="600" w:lineRule="exact"/>
        <w:jc w:val="center"/>
        <w:rPr>
          <w:rFonts w:ascii="Times New Roman" w:hAnsi="Times New Roman" w:eastAsia="楷体"/>
          <w:kern w:val="21"/>
          <w:sz w:val="32"/>
          <w:szCs w:val="32"/>
        </w:rPr>
      </w:pPr>
      <w:r>
        <w:rPr>
          <w:rFonts w:ascii="Times New Roman" w:hAnsi="Times New Roman" w:eastAsia="楷体"/>
          <w:color w:val="000000"/>
          <w:kern w:val="0"/>
          <w:sz w:val="32"/>
          <w:szCs w:val="32"/>
          <w:lang w:bidi="ar"/>
        </w:rPr>
        <w:t>（2024年度）</w:t>
      </w:r>
    </w:p>
    <w:tbl>
      <w:tblPr>
        <w:tblStyle w:val="2"/>
        <w:tblW w:w="15590" w:type="dxa"/>
        <w:jc w:val="center"/>
        <w:tblLayout w:type="autofit"/>
        <w:tblCellMar>
          <w:top w:w="0" w:type="dxa"/>
          <w:left w:w="108" w:type="dxa"/>
          <w:bottom w:w="0" w:type="dxa"/>
          <w:right w:w="108" w:type="dxa"/>
        </w:tblCellMar>
      </w:tblPr>
      <w:tblGrid>
        <w:gridCol w:w="768"/>
        <w:gridCol w:w="652"/>
        <w:gridCol w:w="1059"/>
        <w:gridCol w:w="224"/>
        <w:gridCol w:w="2227"/>
        <w:gridCol w:w="1430"/>
        <w:gridCol w:w="1950"/>
        <w:gridCol w:w="3987"/>
        <w:gridCol w:w="3293"/>
      </w:tblGrid>
      <w:tr w14:paraId="760CD0B0">
        <w:trPr>
          <w:trHeight w:val="240" w:hRule="atLeast"/>
          <w:jc w:val="center"/>
        </w:trPr>
        <w:tc>
          <w:tcPr>
            <w:tcW w:w="2479" w:type="dxa"/>
            <w:gridSpan w:val="3"/>
            <w:tcBorders>
              <w:top w:val="single" w:color="000000" w:sz="4" w:space="0"/>
              <w:left w:val="single" w:color="000000" w:sz="4" w:space="0"/>
              <w:bottom w:val="single" w:color="000000" w:sz="4" w:space="0"/>
              <w:right w:val="single" w:color="000000" w:sz="4" w:space="0"/>
            </w:tcBorders>
            <w:noWrap w:val="0"/>
            <w:vAlign w:val="center"/>
          </w:tcPr>
          <w:p w14:paraId="0E69C14A">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转移支付（项目）名称</w:t>
            </w:r>
          </w:p>
        </w:tc>
        <w:tc>
          <w:tcPr>
            <w:tcW w:w="13111" w:type="dxa"/>
            <w:gridSpan w:val="6"/>
            <w:tcBorders>
              <w:top w:val="single" w:color="000000" w:sz="4" w:space="0"/>
              <w:left w:val="single" w:color="000000" w:sz="4" w:space="0"/>
              <w:bottom w:val="single" w:color="000000" w:sz="4" w:space="0"/>
              <w:right w:val="single" w:color="000000" w:sz="4" w:space="0"/>
            </w:tcBorders>
            <w:noWrap w:val="0"/>
            <w:vAlign w:val="center"/>
          </w:tcPr>
          <w:p w14:paraId="07F42BA3">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2024年节能减排补助资金（县域充换电设施补短板试点县预拨奖励资金）</w:t>
            </w:r>
          </w:p>
        </w:tc>
      </w:tr>
      <w:tr w14:paraId="585D35E2">
        <w:tblPrEx>
          <w:tblCellMar>
            <w:top w:w="0" w:type="dxa"/>
            <w:left w:w="108" w:type="dxa"/>
            <w:bottom w:w="0" w:type="dxa"/>
            <w:right w:w="108" w:type="dxa"/>
          </w:tblCellMar>
        </w:tblPrEx>
        <w:trPr>
          <w:trHeight w:val="240" w:hRule="atLeast"/>
          <w:jc w:val="center"/>
        </w:trPr>
        <w:tc>
          <w:tcPr>
            <w:tcW w:w="2479" w:type="dxa"/>
            <w:gridSpan w:val="3"/>
            <w:tcBorders>
              <w:top w:val="single" w:color="000000" w:sz="4" w:space="0"/>
              <w:left w:val="single" w:color="000000" w:sz="4" w:space="0"/>
              <w:bottom w:val="single" w:color="000000" w:sz="4" w:space="0"/>
              <w:right w:val="single" w:color="000000" w:sz="4" w:space="0"/>
            </w:tcBorders>
            <w:noWrap w:val="0"/>
            <w:vAlign w:val="center"/>
          </w:tcPr>
          <w:p w14:paraId="7478CD73">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中央主管部门</w:t>
            </w:r>
          </w:p>
        </w:tc>
        <w:tc>
          <w:tcPr>
            <w:tcW w:w="13111" w:type="dxa"/>
            <w:gridSpan w:val="6"/>
            <w:tcBorders>
              <w:top w:val="single" w:color="000000" w:sz="4" w:space="0"/>
              <w:left w:val="single" w:color="000000" w:sz="4" w:space="0"/>
              <w:bottom w:val="single" w:color="000000" w:sz="4" w:space="0"/>
              <w:right w:val="single" w:color="000000" w:sz="4" w:space="0"/>
            </w:tcBorders>
            <w:noWrap w:val="0"/>
            <w:vAlign w:val="center"/>
          </w:tcPr>
          <w:p w14:paraId="76B7669E">
            <w:pPr>
              <w:widowControl/>
              <w:spacing w:line="300" w:lineRule="exact"/>
              <w:jc w:val="center"/>
              <w:textAlignment w:val="center"/>
              <w:rPr>
                <w:rFonts w:hint="eastAsia" w:ascii="Times New Roman" w:hAnsi="Times New Roman" w:eastAsia="仿宋"/>
                <w:color w:val="000000"/>
                <w:sz w:val="20"/>
                <w:szCs w:val="20"/>
              </w:rPr>
            </w:pPr>
            <w:r>
              <w:rPr>
                <w:rFonts w:hint="eastAsia" w:ascii="Times New Roman" w:hAnsi="Times New Roman" w:eastAsia="仿宋"/>
                <w:color w:val="000000"/>
                <w:kern w:val="0"/>
                <w:sz w:val="20"/>
                <w:szCs w:val="20"/>
                <w:lang w:bidi="ar"/>
              </w:rPr>
              <w:t>财政部、</w:t>
            </w:r>
            <w:r>
              <w:rPr>
                <w:rFonts w:ascii="Times New Roman" w:hAnsi="Times New Roman" w:eastAsia="仿宋"/>
                <w:color w:val="000000"/>
                <w:kern w:val="0"/>
                <w:sz w:val="20"/>
                <w:szCs w:val="20"/>
                <w:lang w:bidi="ar"/>
              </w:rPr>
              <w:t>工业和信息化部</w:t>
            </w:r>
            <w:r>
              <w:rPr>
                <w:rFonts w:hint="eastAsia" w:ascii="Times New Roman" w:hAnsi="Times New Roman" w:eastAsia="仿宋"/>
                <w:color w:val="000000"/>
                <w:kern w:val="0"/>
                <w:sz w:val="20"/>
                <w:szCs w:val="20"/>
                <w:lang w:bidi="ar"/>
              </w:rPr>
              <w:t>、交通运输部</w:t>
            </w:r>
          </w:p>
        </w:tc>
      </w:tr>
      <w:tr w14:paraId="12F54091">
        <w:tblPrEx>
          <w:tblCellMar>
            <w:top w:w="0" w:type="dxa"/>
            <w:left w:w="108" w:type="dxa"/>
            <w:bottom w:w="0" w:type="dxa"/>
            <w:right w:w="108" w:type="dxa"/>
          </w:tblCellMar>
        </w:tblPrEx>
        <w:trPr>
          <w:trHeight w:val="240" w:hRule="atLeast"/>
          <w:jc w:val="center"/>
        </w:trPr>
        <w:tc>
          <w:tcPr>
            <w:tcW w:w="2479" w:type="dxa"/>
            <w:gridSpan w:val="3"/>
            <w:tcBorders>
              <w:top w:val="single" w:color="000000" w:sz="4" w:space="0"/>
              <w:left w:val="single" w:color="000000" w:sz="4" w:space="0"/>
              <w:bottom w:val="single" w:color="000000" w:sz="4" w:space="0"/>
              <w:right w:val="single" w:color="000000" w:sz="4" w:space="0"/>
            </w:tcBorders>
            <w:noWrap w:val="0"/>
            <w:vAlign w:val="center"/>
          </w:tcPr>
          <w:p w14:paraId="1CB201AE">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省级财政部门</w:t>
            </w:r>
          </w:p>
        </w:tc>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14:paraId="2F5DF818">
            <w:pPr>
              <w:widowControl/>
              <w:spacing w:line="300" w:lineRule="exact"/>
              <w:jc w:val="left"/>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湖南省财政厅</w:t>
            </w:r>
          </w:p>
        </w:tc>
        <w:tc>
          <w:tcPr>
            <w:tcW w:w="3380" w:type="dxa"/>
            <w:gridSpan w:val="2"/>
            <w:tcBorders>
              <w:top w:val="single" w:color="000000" w:sz="4" w:space="0"/>
              <w:left w:val="single" w:color="000000" w:sz="4" w:space="0"/>
              <w:bottom w:val="single" w:color="000000" w:sz="4" w:space="0"/>
              <w:right w:val="single" w:color="000000" w:sz="4" w:space="0"/>
            </w:tcBorders>
            <w:noWrap w:val="0"/>
            <w:vAlign w:val="center"/>
          </w:tcPr>
          <w:p w14:paraId="5F97D305">
            <w:pPr>
              <w:widowControl/>
              <w:spacing w:line="300" w:lineRule="exact"/>
              <w:jc w:val="left"/>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省级主管部门</w:t>
            </w:r>
          </w:p>
        </w:tc>
        <w:tc>
          <w:tcPr>
            <w:tcW w:w="7280" w:type="dxa"/>
            <w:gridSpan w:val="2"/>
            <w:tcBorders>
              <w:top w:val="single" w:color="000000" w:sz="4" w:space="0"/>
              <w:left w:val="single" w:color="000000" w:sz="4" w:space="0"/>
              <w:bottom w:val="single" w:color="000000" w:sz="4" w:space="0"/>
              <w:right w:val="single" w:color="000000" w:sz="4" w:space="0"/>
            </w:tcBorders>
            <w:noWrap w:val="0"/>
            <w:vAlign w:val="center"/>
          </w:tcPr>
          <w:p w14:paraId="1F822E9B">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湖南省工业和信息化厅、湖南省交通运输厅</w:t>
            </w:r>
          </w:p>
        </w:tc>
      </w:tr>
      <w:tr w14:paraId="5071FDA4">
        <w:tblPrEx>
          <w:tblCellMar>
            <w:top w:w="0" w:type="dxa"/>
            <w:left w:w="108" w:type="dxa"/>
            <w:bottom w:w="0" w:type="dxa"/>
            <w:right w:w="108" w:type="dxa"/>
          </w:tblCellMar>
        </w:tblPrEx>
        <w:trPr>
          <w:trHeight w:val="240" w:hRule="atLeast"/>
          <w:jc w:val="center"/>
        </w:trPr>
        <w:tc>
          <w:tcPr>
            <w:tcW w:w="247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5AEA0DE">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项目资金（万元）</w:t>
            </w:r>
          </w:p>
        </w:tc>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14:paraId="7AADFF4C">
            <w:pPr>
              <w:widowControl/>
              <w:spacing w:line="300" w:lineRule="exact"/>
              <w:jc w:val="center"/>
              <w:rPr>
                <w:rFonts w:ascii="Times New Roman" w:hAnsi="Times New Roman" w:eastAsia="仿宋"/>
                <w:color w:val="000000"/>
                <w:sz w:val="20"/>
                <w:szCs w:val="20"/>
              </w:rPr>
            </w:pPr>
          </w:p>
        </w:tc>
        <w:tc>
          <w:tcPr>
            <w:tcW w:w="3380" w:type="dxa"/>
            <w:gridSpan w:val="2"/>
            <w:tcBorders>
              <w:top w:val="single" w:color="000000" w:sz="4" w:space="0"/>
              <w:left w:val="single" w:color="000000" w:sz="4" w:space="0"/>
              <w:bottom w:val="single" w:color="000000" w:sz="4" w:space="0"/>
              <w:right w:val="single" w:color="000000" w:sz="4" w:space="0"/>
            </w:tcBorders>
            <w:noWrap w:val="0"/>
            <w:vAlign w:val="center"/>
          </w:tcPr>
          <w:p w14:paraId="00503BE0">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全年预算数（A）</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35370790">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全年执行数（B）</w:t>
            </w:r>
          </w:p>
        </w:tc>
        <w:tc>
          <w:tcPr>
            <w:tcW w:w="3293" w:type="dxa"/>
            <w:tcBorders>
              <w:top w:val="single" w:color="000000" w:sz="4" w:space="0"/>
              <w:left w:val="single" w:color="000000" w:sz="4" w:space="0"/>
              <w:bottom w:val="single" w:color="000000" w:sz="4" w:space="0"/>
              <w:right w:val="single" w:color="000000" w:sz="4" w:space="0"/>
            </w:tcBorders>
            <w:noWrap w:val="0"/>
            <w:vAlign w:val="center"/>
          </w:tcPr>
          <w:p w14:paraId="0C2F44D1">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预算执行率（B/A×100%）</w:t>
            </w:r>
          </w:p>
        </w:tc>
      </w:tr>
      <w:tr w14:paraId="219C966F">
        <w:tblPrEx>
          <w:tblCellMar>
            <w:top w:w="0" w:type="dxa"/>
            <w:left w:w="108" w:type="dxa"/>
            <w:bottom w:w="0" w:type="dxa"/>
            <w:right w:w="108" w:type="dxa"/>
          </w:tblCellMar>
        </w:tblPrEx>
        <w:trPr>
          <w:trHeight w:val="240" w:hRule="atLeast"/>
          <w:jc w:val="center"/>
        </w:trPr>
        <w:tc>
          <w:tcPr>
            <w:tcW w:w="247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C0CA734">
            <w:pPr>
              <w:widowControl/>
              <w:spacing w:line="300" w:lineRule="exact"/>
              <w:jc w:val="center"/>
              <w:rPr>
                <w:rFonts w:ascii="Times New Roman" w:hAnsi="Times New Roman" w:eastAsia="仿宋"/>
                <w:color w:val="000000"/>
                <w:sz w:val="20"/>
                <w:szCs w:val="20"/>
              </w:rPr>
            </w:pPr>
          </w:p>
        </w:tc>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14:paraId="3AD3654C">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年度资金总额：</w:t>
            </w:r>
          </w:p>
        </w:tc>
        <w:tc>
          <w:tcPr>
            <w:tcW w:w="3380" w:type="dxa"/>
            <w:gridSpan w:val="2"/>
            <w:tcBorders>
              <w:top w:val="single" w:color="000000" w:sz="4" w:space="0"/>
              <w:left w:val="single" w:color="000000" w:sz="4" w:space="0"/>
              <w:bottom w:val="single" w:color="000000" w:sz="4" w:space="0"/>
              <w:right w:val="single" w:color="000000" w:sz="4" w:space="0"/>
            </w:tcBorders>
            <w:noWrap w:val="0"/>
            <w:vAlign w:val="center"/>
          </w:tcPr>
          <w:p w14:paraId="092AD78D">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8,640</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4F34F14B">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8,640</w:t>
            </w:r>
          </w:p>
        </w:tc>
        <w:tc>
          <w:tcPr>
            <w:tcW w:w="3293" w:type="dxa"/>
            <w:tcBorders>
              <w:top w:val="single" w:color="000000" w:sz="4" w:space="0"/>
              <w:left w:val="single" w:color="000000" w:sz="4" w:space="0"/>
              <w:bottom w:val="single" w:color="000000" w:sz="4" w:space="0"/>
              <w:right w:val="single" w:color="000000" w:sz="4" w:space="0"/>
            </w:tcBorders>
            <w:noWrap w:val="0"/>
            <w:vAlign w:val="center"/>
          </w:tcPr>
          <w:p w14:paraId="13FA55E4">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100%</w:t>
            </w:r>
          </w:p>
        </w:tc>
      </w:tr>
      <w:tr w14:paraId="38899C8B">
        <w:tblPrEx>
          <w:tblCellMar>
            <w:top w:w="0" w:type="dxa"/>
            <w:left w:w="108" w:type="dxa"/>
            <w:bottom w:w="0" w:type="dxa"/>
            <w:right w:w="108" w:type="dxa"/>
          </w:tblCellMar>
        </w:tblPrEx>
        <w:trPr>
          <w:trHeight w:val="240" w:hRule="atLeast"/>
          <w:jc w:val="center"/>
        </w:trPr>
        <w:tc>
          <w:tcPr>
            <w:tcW w:w="247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19B354A">
            <w:pPr>
              <w:widowControl/>
              <w:spacing w:line="300" w:lineRule="exact"/>
              <w:jc w:val="center"/>
              <w:rPr>
                <w:rFonts w:ascii="Times New Roman" w:hAnsi="Times New Roman" w:eastAsia="仿宋"/>
                <w:color w:val="000000"/>
                <w:sz w:val="20"/>
                <w:szCs w:val="20"/>
              </w:rPr>
            </w:pPr>
          </w:p>
        </w:tc>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14:paraId="4DFA4AA2">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 xml:space="preserve"> 其中：中央补助</w:t>
            </w:r>
          </w:p>
        </w:tc>
        <w:tc>
          <w:tcPr>
            <w:tcW w:w="3380" w:type="dxa"/>
            <w:gridSpan w:val="2"/>
            <w:tcBorders>
              <w:top w:val="single" w:color="000000" w:sz="4" w:space="0"/>
              <w:left w:val="single" w:color="000000" w:sz="4" w:space="0"/>
              <w:bottom w:val="single" w:color="000000" w:sz="4" w:space="0"/>
              <w:right w:val="single" w:color="000000" w:sz="4" w:space="0"/>
            </w:tcBorders>
            <w:noWrap w:val="0"/>
            <w:vAlign w:val="center"/>
          </w:tcPr>
          <w:p w14:paraId="1769D38D">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8,640</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552D53DF">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8,640</w:t>
            </w:r>
          </w:p>
        </w:tc>
        <w:tc>
          <w:tcPr>
            <w:tcW w:w="3293" w:type="dxa"/>
            <w:tcBorders>
              <w:top w:val="single" w:color="000000" w:sz="4" w:space="0"/>
              <w:left w:val="single" w:color="000000" w:sz="4" w:space="0"/>
              <w:bottom w:val="single" w:color="000000" w:sz="4" w:space="0"/>
              <w:right w:val="single" w:color="000000" w:sz="4" w:space="0"/>
            </w:tcBorders>
            <w:noWrap w:val="0"/>
            <w:vAlign w:val="center"/>
          </w:tcPr>
          <w:p w14:paraId="58E697CF">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100%</w:t>
            </w:r>
          </w:p>
        </w:tc>
      </w:tr>
      <w:tr w14:paraId="3BD93555">
        <w:tblPrEx>
          <w:tblCellMar>
            <w:top w:w="0" w:type="dxa"/>
            <w:left w:w="108" w:type="dxa"/>
            <w:bottom w:w="0" w:type="dxa"/>
            <w:right w:w="108" w:type="dxa"/>
          </w:tblCellMar>
        </w:tblPrEx>
        <w:trPr>
          <w:trHeight w:val="240" w:hRule="atLeast"/>
          <w:jc w:val="center"/>
        </w:trPr>
        <w:tc>
          <w:tcPr>
            <w:tcW w:w="247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642A6FE">
            <w:pPr>
              <w:widowControl/>
              <w:spacing w:line="300" w:lineRule="exact"/>
              <w:jc w:val="center"/>
              <w:rPr>
                <w:rFonts w:ascii="Times New Roman" w:hAnsi="Times New Roman" w:eastAsia="仿宋"/>
                <w:color w:val="000000"/>
                <w:sz w:val="20"/>
                <w:szCs w:val="20"/>
              </w:rPr>
            </w:pPr>
          </w:p>
        </w:tc>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14:paraId="2A1288DF">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 xml:space="preserve">       地方资金</w:t>
            </w:r>
          </w:p>
        </w:tc>
        <w:tc>
          <w:tcPr>
            <w:tcW w:w="3380" w:type="dxa"/>
            <w:gridSpan w:val="2"/>
            <w:tcBorders>
              <w:top w:val="single" w:color="000000" w:sz="4" w:space="0"/>
              <w:left w:val="single" w:color="000000" w:sz="4" w:space="0"/>
              <w:bottom w:val="single" w:color="000000" w:sz="4" w:space="0"/>
              <w:right w:val="single" w:color="000000" w:sz="4" w:space="0"/>
            </w:tcBorders>
            <w:noWrap w:val="0"/>
            <w:vAlign w:val="center"/>
          </w:tcPr>
          <w:p w14:paraId="57CFE530">
            <w:pPr>
              <w:widowControl/>
              <w:spacing w:line="300" w:lineRule="exact"/>
              <w:jc w:val="center"/>
              <w:rPr>
                <w:rFonts w:ascii="Times New Roman" w:hAnsi="Times New Roman" w:eastAsia="仿宋"/>
                <w:color w:val="000000"/>
                <w:sz w:val="20"/>
                <w:szCs w:val="20"/>
              </w:rPr>
            </w:pP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7F734D24">
            <w:pPr>
              <w:widowControl/>
              <w:spacing w:line="300" w:lineRule="exact"/>
              <w:jc w:val="center"/>
              <w:rPr>
                <w:rFonts w:ascii="Times New Roman" w:hAnsi="Times New Roman" w:eastAsia="仿宋"/>
                <w:color w:val="000000"/>
                <w:sz w:val="20"/>
                <w:szCs w:val="20"/>
              </w:rPr>
            </w:pPr>
          </w:p>
        </w:tc>
        <w:tc>
          <w:tcPr>
            <w:tcW w:w="3293" w:type="dxa"/>
            <w:tcBorders>
              <w:top w:val="single" w:color="000000" w:sz="4" w:space="0"/>
              <w:left w:val="single" w:color="000000" w:sz="4" w:space="0"/>
              <w:bottom w:val="single" w:color="000000" w:sz="4" w:space="0"/>
              <w:right w:val="single" w:color="000000" w:sz="4" w:space="0"/>
            </w:tcBorders>
            <w:noWrap w:val="0"/>
            <w:vAlign w:val="center"/>
          </w:tcPr>
          <w:p w14:paraId="49F7F84A">
            <w:pPr>
              <w:widowControl/>
              <w:spacing w:line="300" w:lineRule="exact"/>
              <w:jc w:val="center"/>
              <w:rPr>
                <w:rFonts w:ascii="Times New Roman" w:hAnsi="Times New Roman" w:eastAsia="仿宋"/>
                <w:color w:val="000000"/>
                <w:sz w:val="20"/>
                <w:szCs w:val="20"/>
              </w:rPr>
            </w:pPr>
          </w:p>
        </w:tc>
      </w:tr>
      <w:tr w14:paraId="38AA1A9E">
        <w:tblPrEx>
          <w:tblCellMar>
            <w:top w:w="0" w:type="dxa"/>
            <w:left w:w="108" w:type="dxa"/>
            <w:bottom w:w="0" w:type="dxa"/>
            <w:right w:w="108" w:type="dxa"/>
          </w:tblCellMar>
        </w:tblPrEx>
        <w:trPr>
          <w:trHeight w:val="240" w:hRule="atLeast"/>
          <w:jc w:val="center"/>
        </w:trPr>
        <w:tc>
          <w:tcPr>
            <w:tcW w:w="247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D36D452">
            <w:pPr>
              <w:widowControl/>
              <w:spacing w:line="300" w:lineRule="exact"/>
              <w:jc w:val="center"/>
              <w:rPr>
                <w:rFonts w:ascii="Times New Roman" w:hAnsi="Times New Roman" w:eastAsia="仿宋"/>
                <w:color w:val="000000"/>
                <w:sz w:val="20"/>
                <w:szCs w:val="20"/>
              </w:rPr>
            </w:pPr>
          </w:p>
        </w:tc>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14:paraId="03D36857">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 xml:space="preserve">        其他资金</w:t>
            </w:r>
          </w:p>
        </w:tc>
        <w:tc>
          <w:tcPr>
            <w:tcW w:w="3380" w:type="dxa"/>
            <w:gridSpan w:val="2"/>
            <w:tcBorders>
              <w:top w:val="single" w:color="000000" w:sz="4" w:space="0"/>
              <w:left w:val="single" w:color="000000" w:sz="4" w:space="0"/>
              <w:bottom w:val="single" w:color="000000" w:sz="4" w:space="0"/>
              <w:right w:val="single" w:color="000000" w:sz="4" w:space="0"/>
            </w:tcBorders>
            <w:noWrap w:val="0"/>
            <w:vAlign w:val="center"/>
          </w:tcPr>
          <w:p w14:paraId="51BA8EE3">
            <w:pPr>
              <w:widowControl/>
              <w:spacing w:line="300" w:lineRule="exact"/>
              <w:jc w:val="center"/>
              <w:rPr>
                <w:rFonts w:ascii="Times New Roman" w:hAnsi="Times New Roman" w:eastAsia="仿宋"/>
                <w:color w:val="000000"/>
                <w:sz w:val="20"/>
                <w:szCs w:val="20"/>
              </w:rPr>
            </w:pP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6D8CA8ED">
            <w:pPr>
              <w:widowControl/>
              <w:spacing w:line="300" w:lineRule="exact"/>
              <w:jc w:val="center"/>
              <w:rPr>
                <w:rFonts w:ascii="Times New Roman" w:hAnsi="Times New Roman" w:eastAsia="仿宋"/>
                <w:color w:val="000000"/>
                <w:sz w:val="20"/>
                <w:szCs w:val="20"/>
              </w:rPr>
            </w:pPr>
          </w:p>
        </w:tc>
        <w:tc>
          <w:tcPr>
            <w:tcW w:w="3293" w:type="dxa"/>
            <w:tcBorders>
              <w:top w:val="single" w:color="000000" w:sz="4" w:space="0"/>
              <w:left w:val="single" w:color="000000" w:sz="4" w:space="0"/>
              <w:bottom w:val="single" w:color="000000" w:sz="4" w:space="0"/>
              <w:right w:val="single" w:color="000000" w:sz="4" w:space="0"/>
            </w:tcBorders>
            <w:noWrap w:val="0"/>
            <w:vAlign w:val="center"/>
          </w:tcPr>
          <w:p w14:paraId="6C3C3490">
            <w:pPr>
              <w:widowControl/>
              <w:spacing w:line="300" w:lineRule="exact"/>
              <w:jc w:val="center"/>
              <w:rPr>
                <w:rFonts w:ascii="Times New Roman" w:hAnsi="Times New Roman" w:eastAsia="仿宋"/>
                <w:color w:val="000000"/>
                <w:sz w:val="20"/>
                <w:szCs w:val="20"/>
              </w:rPr>
            </w:pPr>
          </w:p>
        </w:tc>
      </w:tr>
      <w:tr w14:paraId="42DC42DF">
        <w:tblPrEx>
          <w:tblCellMar>
            <w:top w:w="0" w:type="dxa"/>
            <w:left w:w="108" w:type="dxa"/>
            <w:bottom w:w="0" w:type="dxa"/>
            <w:right w:w="108" w:type="dxa"/>
          </w:tblCellMar>
        </w:tblPrEx>
        <w:trPr>
          <w:trHeight w:val="240" w:hRule="atLeast"/>
          <w:jc w:val="center"/>
        </w:trPr>
        <w:tc>
          <w:tcPr>
            <w:tcW w:w="247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21B62DA">
            <w:pPr>
              <w:widowControl/>
              <w:spacing w:line="300" w:lineRule="exact"/>
              <w:jc w:val="center"/>
              <w:textAlignment w:val="center"/>
              <w:rPr>
                <w:rFonts w:ascii="Times New Roman" w:hAnsi="Times New Roman" w:eastAsia="仿宋"/>
                <w:color w:val="000000"/>
                <w:kern w:val="0"/>
                <w:sz w:val="20"/>
                <w:szCs w:val="20"/>
                <w:lang w:bidi="ar"/>
              </w:rPr>
            </w:pPr>
          </w:p>
          <w:p w14:paraId="410B34DD">
            <w:pPr>
              <w:widowControl/>
              <w:spacing w:line="300" w:lineRule="exact"/>
              <w:jc w:val="center"/>
              <w:textAlignment w:val="center"/>
              <w:rPr>
                <w:rFonts w:ascii="Times New Roman" w:hAnsi="Times New Roman" w:eastAsia="仿宋"/>
                <w:color w:val="000000"/>
                <w:kern w:val="0"/>
                <w:sz w:val="20"/>
                <w:szCs w:val="20"/>
                <w:lang w:bidi="ar"/>
              </w:rPr>
            </w:pPr>
          </w:p>
          <w:p w14:paraId="165EE3A3">
            <w:pPr>
              <w:widowControl/>
              <w:spacing w:line="300" w:lineRule="exact"/>
              <w:jc w:val="center"/>
              <w:textAlignment w:val="center"/>
              <w:rPr>
                <w:rFonts w:ascii="Times New Roman" w:hAnsi="Times New Roman" w:eastAsia="仿宋"/>
                <w:color w:val="000000"/>
                <w:kern w:val="0"/>
                <w:sz w:val="20"/>
                <w:szCs w:val="20"/>
                <w:lang w:bidi="ar"/>
              </w:rPr>
            </w:pPr>
          </w:p>
          <w:p w14:paraId="070A575C">
            <w:pPr>
              <w:widowControl/>
              <w:spacing w:line="300" w:lineRule="exact"/>
              <w:jc w:val="center"/>
              <w:textAlignment w:val="center"/>
              <w:rPr>
                <w:rFonts w:ascii="Times New Roman" w:hAnsi="Times New Roman" w:eastAsia="仿宋"/>
                <w:color w:val="000000"/>
                <w:kern w:val="0"/>
                <w:sz w:val="20"/>
                <w:szCs w:val="20"/>
                <w:lang w:bidi="ar"/>
              </w:rPr>
            </w:pPr>
          </w:p>
          <w:p w14:paraId="0993FACE">
            <w:pPr>
              <w:widowControl/>
              <w:spacing w:line="300" w:lineRule="exact"/>
              <w:jc w:val="center"/>
              <w:textAlignment w:val="center"/>
              <w:rPr>
                <w:rFonts w:ascii="Times New Roman" w:hAnsi="Times New Roman" w:eastAsia="仿宋"/>
                <w:color w:val="000000"/>
                <w:kern w:val="0"/>
                <w:sz w:val="20"/>
                <w:szCs w:val="20"/>
                <w:lang w:bidi="ar"/>
              </w:rPr>
            </w:pPr>
          </w:p>
          <w:p w14:paraId="1DE6DB0E">
            <w:pPr>
              <w:widowControl/>
              <w:spacing w:line="300" w:lineRule="exact"/>
              <w:jc w:val="center"/>
              <w:textAlignment w:val="center"/>
              <w:rPr>
                <w:rFonts w:ascii="Times New Roman" w:hAnsi="Times New Roman" w:eastAsia="仿宋"/>
                <w:color w:val="000000"/>
                <w:kern w:val="0"/>
                <w:sz w:val="20"/>
                <w:szCs w:val="20"/>
                <w:lang w:bidi="ar"/>
              </w:rPr>
            </w:pPr>
            <w:r>
              <w:rPr>
                <w:rFonts w:ascii="Times New Roman" w:hAnsi="Times New Roman" w:eastAsia="仿宋"/>
                <w:color w:val="000000"/>
                <w:kern w:val="0"/>
                <w:sz w:val="20"/>
                <w:szCs w:val="20"/>
                <w:lang w:bidi="ar"/>
              </w:rPr>
              <w:t>资金管理情况</w:t>
            </w:r>
          </w:p>
          <w:p w14:paraId="1FFBCC06">
            <w:pPr>
              <w:widowControl/>
              <w:spacing w:line="300" w:lineRule="exact"/>
              <w:jc w:val="center"/>
              <w:textAlignment w:val="center"/>
              <w:rPr>
                <w:rFonts w:ascii="Times New Roman" w:hAnsi="Times New Roman" w:eastAsia="仿宋"/>
                <w:color w:val="000000"/>
                <w:kern w:val="0"/>
                <w:sz w:val="20"/>
                <w:szCs w:val="20"/>
                <w:lang w:bidi="ar"/>
              </w:rPr>
            </w:pPr>
          </w:p>
          <w:p w14:paraId="101E5571">
            <w:pPr>
              <w:widowControl/>
              <w:spacing w:line="300" w:lineRule="exact"/>
              <w:jc w:val="center"/>
              <w:textAlignment w:val="center"/>
              <w:rPr>
                <w:rFonts w:ascii="Times New Roman" w:hAnsi="Times New Roman" w:eastAsia="仿宋"/>
                <w:color w:val="000000"/>
                <w:kern w:val="0"/>
                <w:sz w:val="20"/>
                <w:szCs w:val="20"/>
                <w:lang w:bidi="ar"/>
              </w:rPr>
            </w:pPr>
          </w:p>
          <w:p w14:paraId="57738ECC">
            <w:pPr>
              <w:widowControl/>
              <w:spacing w:line="300" w:lineRule="exact"/>
              <w:jc w:val="center"/>
              <w:textAlignment w:val="center"/>
              <w:rPr>
                <w:rFonts w:ascii="Times New Roman" w:hAnsi="Times New Roman" w:eastAsia="仿宋"/>
                <w:color w:val="000000"/>
                <w:kern w:val="0"/>
                <w:sz w:val="20"/>
                <w:szCs w:val="20"/>
                <w:lang w:bidi="ar"/>
              </w:rPr>
            </w:pPr>
          </w:p>
          <w:p w14:paraId="5FE4E85A">
            <w:pPr>
              <w:widowControl/>
              <w:spacing w:line="300" w:lineRule="exact"/>
              <w:jc w:val="center"/>
              <w:textAlignment w:val="center"/>
              <w:rPr>
                <w:rFonts w:ascii="Times New Roman" w:hAnsi="Times New Roman" w:eastAsia="仿宋"/>
                <w:color w:val="000000"/>
                <w:kern w:val="0"/>
                <w:sz w:val="20"/>
                <w:szCs w:val="20"/>
                <w:lang w:bidi="ar"/>
              </w:rPr>
            </w:pPr>
          </w:p>
          <w:p w14:paraId="650FAF62">
            <w:pPr>
              <w:widowControl/>
              <w:spacing w:line="300" w:lineRule="exact"/>
              <w:jc w:val="center"/>
              <w:textAlignment w:val="center"/>
              <w:rPr>
                <w:rFonts w:ascii="Times New Roman" w:hAnsi="Times New Roman" w:eastAsia="仿宋"/>
                <w:color w:val="000000"/>
                <w:kern w:val="0"/>
                <w:sz w:val="20"/>
                <w:szCs w:val="20"/>
                <w:lang w:bidi="ar"/>
              </w:rPr>
            </w:pPr>
          </w:p>
          <w:p w14:paraId="364EBAFC">
            <w:pPr>
              <w:widowControl/>
              <w:spacing w:line="300" w:lineRule="exact"/>
              <w:jc w:val="center"/>
              <w:textAlignment w:val="center"/>
              <w:rPr>
                <w:rFonts w:ascii="Times New Roman" w:hAnsi="Times New Roman" w:eastAsia="仿宋"/>
                <w:color w:val="000000"/>
                <w:kern w:val="0"/>
                <w:sz w:val="20"/>
                <w:szCs w:val="20"/>
                <w:lang w:bidi="ar"/>
              </w:rPr>
            </w:pPr>
          </w:p>
          <w:p w14:paraId="7586DDD6">
            <w:pPr>
              <w:widowControl/>
              <w:spacing w:line="300" w:lineRule="exact"/>
              <w:jc w:val="center"/>
              <w:textAlignment w:val="center"/>
              <w:rPr>
                <w:rFonts w:ascii="Times New Roman" w:hAnsi="Times New Roman" w:eastAsia="仿宋"/>
                <w:color w:val="000000"/>
                <w:kern w:val="0"/>
                <w:sz w:val="20"/>
                <w:szCs w:val="20"/>
                <w:lang w:bidi="ar"/>
              </w:rPr>
            </w:pPr>
          </w:p>
          <w:p w14:paraId="240651D4">
            <w:pPr>
              <w:widowControl/>
              <w:spacing w:line="300" w:lineRule="exact"/>
              <w:jc w:val="center"/>
              <w:textAlignment w:val="center"/>
              <w:rPr>
                <w:rFonts w:ascii="Times New Roman" w:hAnsi="Times New Roman" w:eastAsia="仿宋"/>
                <w:color w:val="000000"/>
                <w:kern w:val="0"/>
                <w:sz w:val="20"/>
                <w:szCs w:val="20"/>
                <w:lang w:bidi="ar"/>
              </w:rPr>
            </w:pPr>
          </w:p>
          <w:p w14:paraId="17E90F4A">
            <w:pPr>
              <w:widowControl/>
              <w:spacing w:line="300" w:lineRule="exact"/>
              <w:jc w:val="center"/>
              <w:textAlignment w:val="center"/>
              <w:rPr>
                <w:rFonts w:ascii="Times New Roman" w:hAnsi="Times New Roman" w:eastAsia="仿宋"/>
                <w:color w:val="000000"/>
                <w:kern w:val="0"/>
                <w:sz w:val="20"/>
                <w:szCs w:val="20"/>
                <w:lang w:bidi="ar"/>
              </w:rPr>
            </w:pPr>
          </w:p>
          <w:p w14:paraId="132B3A34">
            <w:pPr>
              <w:widowControl/>
              <w:spacing w:line="300" w:lineRule="exact"/>
              <w:jc w:val="center"/>
              <w:textAlignment w:val="center"/>
              <w:rPr>
                <w:rFonts w:ascii="Times New Roman" w:hAnsi="Times New Roman" w:eastAsia="仿宋"/>
                <w:color w:val="000000"/>
                <w:kern w:val="0"/>
                <w:sz w:val="20"/>
                <w:szCs w:val="20"/>
                <w:lang w:bidi="ar"/>
              </w:rPr>
            </w:pPr>
          </w:p>
          <w:p w14:paraId="2873929E">
            <w:pPr>
              <w:widowControl/>
              <w:spacing w:line="300" w:lineRule="exact"/>
              <w:jc w:val="center"/>
              <w:textAlignment w:val="center"/>
              <w:rPr>
                <w:rFonts w:ascii="Times New Roman" w:hAnsi="Times New Roman" w:eastAsia="仿宋"/>
                <w:color w:val="000000"/>
                <w:kern w:val="0"/>
                <w:sz w:val="20"/>
                <w:szCs w:val="20"/>
                <w:lang w:bidi="ar"/>
              </w:rPr>
            </w:pPr>
          </w:p>
          <w:p w14:paraId="6AD4823D">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资金管理情况</w:t>
            </w:r>
          </w:p>
        </w:tc>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14:paraId="0145B373">
            <w:pPr>
              <w:widowControl/>
              <w:spacing w:line="300" w:lineRule="exact"/>
              <w:jc w:val="center"/>
              <w:rPr>
                <w:rFonts w:ascii="Times New Roman" w:hAnsi="Times New Roman" w:eastAsia="仿宋"/>
                <w:color w:val="000000"/>
                <w:sz w:val="20"/>
                <w:szCs w:val="20"/>
              </w:rPr>
            </w:pPr>
          </w:p>
        </w:tc>
        <w:tc>
          <w:tcPr>
            <w:tcW w:w="3380" w:type="dxa"/>
            <w:gridSpan w:val="2"/>
            <w:tcBorders>
              <w:top w:val="single" w:color="000000" w:sz="4" w:space="0"/>
              <w:left w:val="single" w:color="000000" w:sz="4" w:space="0"/>
              <w:bottom w:val="single" w:color="000000" w:sz="4" w:space="0"/>
              <w:right w:val="single" w:color="000000" w:sz="4" w:space="0"/>
            </w:tcBorders>
            <w:noWrap w:val="0"/>
            <w:vAlign w:val="center"/>
          </w:tcPr>
          <w:p w14:paraId="3ED240AC">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情况说明</w:t>
            </w:r>
          </w:p>
        </w:tc>
        <w:tc>
          <w:tcPr>
            <w:tcW w:w="7280" w:type="dxa"/>
            <w:gridSpan w:val="2"/>
            <w:tcBorders>
              <w:top w:val="single" w:color="000000" w:sz="4" w:space="0"/>
              <w:left w:val="single" w:color="000000" w:sz="4" w:space="0"/>
              <w:bottom w:val="single" w:color="000000" w:sz="4" w:space="0"/>
              <w:right w:val="single" w:color="000000" w:sz="4" w:space="0"/>
            </w:tcBorders>
            <w:noWrap w:val="0"/>
            <w:vAlign w:val="center"/>
          </w:tcPr>
          <w:p w14:paraId="1CD765EB">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存在问题和改进措施</w:t>
            </w:r>
          </w:p>
        </w:tc>
      </w:tr>
      <w:tr w14:paraId="25DFFB23">
        <w:tblPrEx>
          <w:tblCellMar>
            <w:top w:w="0" w:type="dxa"/>
            <w:left w:w="108" w:type="dxa"/>
            <w:bottom w:w="0" w:type="dxa"/>
            <w:right w:w="108" w:type="dxa"/>
          </w:tblCellMar>
        </w:tblPrEx>
        <w:trPr>
          <w:trHeight w:val="450" w:hRule="atLeast"/>
          <w:jc w:val="center"/>
        </w:trPr>
        <w:tc>
          <w:tcPr>
            <w:tcW w:w="247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0CF7CE0">
            <w:pPr>
              <w:widowControl/>
              <w:spacing w:line="300" w:lineRule="exact"/>
              <w:jc w:val="center"/>
              <w:rPr>
                <w:rFonts w:ascii="Times New Roman" w:hAnsi="Times New Roman" w:eastAsia="仿宋"/>
                <w:color w:val="000000"/>
                <w:sz w:val="20"/>
                <w:szCs w:val="20"/>
              </w:rPr>
            </w:pPr>
          </w:p>
        </w:tc>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14:paraId="478C1CC8">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分配科学性</w:t>
            </w:r>
          </w:p>
        </w:tc>
        <w:tc>
          <w:tcPr>
            <w:tcW w:w="3380" w:type="dxa"/>
            <w:gridSpan w:val="2"/>
            <w:tcBorders>
              <w:top w:val="single" w:color="000000" w:sz="4" w:space="0"/>
              <w:left w:val="single" w:color="000000" w:sz="4" w:space="0"/>
              <w:bottom w:val="single" w:color="000000" w:sz="4" w:space="0"/>
              <w:right w:val="single" w:color="000000" w:sz="4" w:space="0"/>
            </w:tcBorders>
            <w:noWrap w:val="0"/>
            <w:vAlign w:val="center"/>
          </w:tcPr>
          <w:p w14:paraId="34FF0B4A">
            <w:pPr>
              <w:widowControl/>
              <w:spacing w:line="300" w:lineRule="exact"/>
              <w:jc w:val="left"/>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严格按照转移支付管理制度以及资金办法规定的范围和标准分配资金。</w:t>
            </w:r>
          </w:p>
        </w:tc>
        <w:tc>
          <w:tcPr>
            <w:tcW w:w="7280" w:type="dxa"/>
            <w:gridSpan w:val="2"/>
            <w:tcBorders>
              <w:top w:val="single" w:color="000000" w:sz="4" w:space="0"/>
              <w:left w:val="single" w:color="000000" w:sz="4" w:space="0"/>
              <w:bottom w:val="single" w:color="000000" w:sz="4" w:space="0"/>
              <w:right w:val="single" w:color="000000" w:sz="4" w:space="0"/>
            </w:tcBorders>
            <w:noWrap w:val="0"/>
            <w:vAlign w:val="center"/>
          </w:tcPr>
          <w:p w14:paraId="47EA4F3A">
            <w:pPr>
              <w:widowControl/>
              <w:spacing w:line="300" w:lineRule="exact"/>
              <w:jc w:val="center"/>
              <w:rPr>
                <w:rFonts w:ascii="Times New Roman" w:hAnsi="Times New Roman" w:eastAsia="仿宋"/>
                <w:color w:val="000000"/>
                <w:sz w:val="20"/>
                <w:szCs w:val="20"/>
              </w:rPr>
            </w:pPr>
          </w:p>
        </w:tc>
      </w:tr>
      <w:tr w14:paraId="7BD18568">
        <w:tblPrEx>
          <w:tblCellMar>
            <w:top w:w="0" w:type="dxa"/>
            <w:left w:w="108" w:type="dxa"/>
            <w:bottom w:w="0" w:type="dxa"/>
            <w:right w:w="108" w:type="dxa"/>
          </w:tblCellMar>
        </w:tblPrEx>
        <w:trPr>
          <w:trHeight w:val="1040" w:hRule="atLeast"/>
          <w:jc w:val="center"/>
        </w:trPr>
        <w:tc>
          <w:tcPr>
            <w:tcW w:w="247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9343CFF">
            <w:pPr>
              <w:widowControl/>
              <w:spacing w:line="300" w:lineRule="exact"/>
              <w:jc w:val="center"/>
              <w:rPr>
                <w:rFonts w:ascii="Times New Roman" w:hAnsi="Times New Roman" w:eastAsia="仿宋"/>
                <w:color w:val="000000"/>
                <w:sz w:val="20"/>
                <w:szCs w:val="20"/>
              </w:rPr>
            </w:pPr>
          </w:p>
        </w:tc>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14:paraId="5359C12C">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下达及时性</w:t>
            </w:r>
          </w:p>
        </w:tc>
        <w:tc>
          <w:tcPr>
            <w:tcW w:w="3380" w:type="dxa"/>
            <w:gridSpan w:val="2"/>
            <w:tcBorders>
              <w:top w:val="single" w:color="000000" w:sz="4" w:space="0"/>
              <w:left w:val="single" w:color="000000" w:sz="4" w:space="0"/>
              <w:bottom w:val="single" w:color="000000" w:sz="4" w:space="0"/>
              <w:right w:val="single" w:color="000000" w:sz="4" w:space="0"/>
            </w:tcBorders>
            <w:noWrap w:val="0"/>
            <w:vAlign w:val="center"/>
          </w:tcPr>
          <w:p w14:paraId="667B1ABC">
            <w:pPr>
              <w:widowControl/>
              <w:spacing w:line="300" w:lineRule="exact"/>
              <w:jc w:val="left"/>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严格按照预算法及其实施条例、转移支付管理制度规定以及资金管理办法规定的时限要求分解下达。</w:t>
            </w:r>
          </w:p>
        </w:tc>
        <w:tc>
          <w:tcPr>
            <w:tcW w:w="7280" w:type="dxa"/>
            <w:gridSpan w:val="2"/>
            <w:tcBorders>
              <w:top w:val="single" w:color="000000" w:sz="4" w:space="0"/>
              <w:left w:val="single" w:color="000000" w:sz="4" w:space="0"/>
              <w:bottom w:val="single" w:color="000000" w:sz="4" w:space="0"/>
              <w:right w:val="single" w:color="000000" w:sz="4" w:space="0"/>
            </w:tcBorders>
            <w:noWrap w:val="0"/>
            <w:vAlign w:val="center"/>
          </w:tcPr>
          <w:p w14:paraId="1C1E67CE">
            <w:pPr>
              <w:widowControl/>
              <w:spacing w:line="300" w:lineRule="exact"/>
              <w:jc w:val="center"/>
              <w:rPr>
                <w:rFonts w:ascii="Times New Roman" w:hAnsi="Times New Roman" w:eastAsia="仿宋"/>
                <w:color w:val="000000"/>
                <w:sz w:val="20"/>
                <w:szCs w:val="20"/>
              </w:rPr>
            </w:pPr>
          </w:p>
        </w:tc>
      </w:tr>
      <w:tr w14:paraId="07153424">
        <w:tblPrEx>
          <w:tblCellMar>
            <w:top w:w="0" w:type="dxa"/>
            <w:left w:w="108" w:type="dxa"/>
            <w:bottom w:w="0" w:type="dxa"/>
            <w:right w:w="108" w:type="dxa"/>
          </w:tblCellMar>
        </w:tblPrEx>
        <w:trPr>
          <w:trHeight w:val="1125" w:hRule="atLeast"/>
          <w:jc w:val="center"/>
        </w:trPr>
        <w:tc>
          <w:tcPr>
            <w:tcW w:w="247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79FCA14">
            <w:pPr>
              <w:widowControl/>
              <w:spacing w:line="300" w:lineRule="exact"/>
              <w:jc w:val="center"/>
              <w:rPr>
                <w:rFonts w:ascii="Times New Roman" w:hAnsi="Times New Roman" w:eastAsia="仿宋"/>
                <w:color w:val="000000"/>
                <w:sz w:val="20"/>
                <w:szCs w:val="20"/>
              </w:rPr>
            </w:pPr>
          </w:p>
        </w:tc>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14:paraId="7EEC1911">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拨付合规性</w:t>
            </w:r>
          </w:p>
        </w:tc>
        <w:tc>
          <w:tcPr>
            <w:tcW w:w="3380" w:type="dxa"/>
            <w:gridSpan w:val="2"/>
            <w:tcBorders>
              <w:top w:val="single" w:color="000000" w:sz="4" w:space="0"/>
              <w:left w:val="single" w:color="000000" w:sz="4" w:space="0"/>
              <w:bottom w:val="single" w:color="000000" w:sz="4" w:space="0"/>
              <w:right w:val="single" w:color="000000" w:sz="4" w:space="0"/>
            </w:tcBorders>
            <w:noWrap w:val="0"/>
            <w:vAlign w:val="center"/>
          </w:tcPr>
          <w:p w14:paraId="3BA0CF61">
            <w:pPr>
              <w:widowControl/>
              <w:spacing w:line="300" w:lineRule="exact"/>
              <w:jc w:val="left"/>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严格按照国库集中支付制度有关规定支付资金，未出现违规将资金从国库转入财政专户或支付到预算单位实有资金账户等问题。省工信厅按照项目相关要求分阶段完成资金拨付工作。</w:t>
            </w:r>
          </w:p>
        </w:tc>
        <w:tc>
          <w:tcPr>
            <w:tcW w:w="7280" w:type="dxa"/>
            <w:gridSpan w:val="2"/>
            <w:tcBorders>
              <w:top w:val="single" w:color="000000" w:sz="4" w:space="0"/>
              <w:left w:val="single" w:color="000000" w:sz="4" w:space="0"/>
              <w:bottom w:val="single" w:color="000000" w:sz="4" w:space="0"/>
              <w:right w:val="single" w:color="000000" w:sz="4" w:space="0"/>
            </w:tcBorders>
            <w:noWrap w:val="0"/>
            <w:vAlign w:val="center"/>
          </w:tcPr>
          <w:p w14:paraId="31011556">
            <w:pPr>
              <w:widowControl/>
              <w:spacing w:line="300" w:lineRule="exact"/>
              <w:jc w:val="center"/>
              <w:rPr>
                <w:rFonts w:ascii="Times New Roman" w:hAnsi="Times New Roman" w:eastAsia="仿宋"/>
                <w:color w:val="000000"/>
                <w:sz w:val="20"/>
                <w:szCs w:val="20"/>
              </w:rPr>
            </w:pPr>
          </w:p>
        </w:tc>
      </w:tr>
      <w:tr w14:paraId="4E148C2C">
        <w:tblPrEx>
          <w:tblCellMar>
            <w:top w:w="0" w:type="dxa"/>
            <w:left w:w="108" w:type="dxa"/>
            <w:bottom w:w="0" w:type="dxa"/>
            <w:right w:w="108" w:type="dxa"/>
          </w:tblCellMar>
        </w:tblPrEx>
        <w:trPr>
          <w:trHeight w:val="450" w:hRule="atLeast"/>
          <w:jc w:val="center"/>
        </w:trPr>
        <w:tc>
          <w:tcPr>
            <w:tcW w:w="247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3417602">
            <w:pPr>
              <w:widowControl/>
              <w:spacing w:line="300" w:lineRule="exact"/>
              <w:jc w:val="center"/>
              <w:rPr>
                <w:rFonts w:ascii="Times New Roman" w:hAnsi="Times New Roman" w:eastAsia="仿宋"/>
                <w:color w:val="000000"/>
                <w:sz w:val="20"/>
                <w:szCs w:val="20"/>
              </w:rPr>
            </w:pPr>
          </w:p>
        </w:tc>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14:paraId="7EC85737">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使用规范性</w:t>
            </w:r>
          </w:p>
        </w:tc>
        <w:tc>
          <w:tcPr>
            <w:tcW w:w="3380" w:type="dxa"/>
            <w:gridSpan w:val="2"/>
            <w:tcBorders>
              <w:top w:val="single" w:color="000000" w:sz="4" w:space="0"/>
              <w:left w:val="single" w:color="000000" w:sz="4" w:space="0"/>
              <w:bottom w:val="single" w:color="000000" w:sz="4" w:space="0"/>
              <w:right w:val="single" w:color="000000" w:sz="4" w:space="0"/>
            </w:tcBorders>
            <w:noWrap w:val="0"/>
            <w:vAlign w:val="center"/>
          </w:tcPr>
          <w:p w14:paraId="55E3C98B">
            <w:pPr>
              <w:widowControl/>
              <w:spacing w:line="300" w:lineRule="exact"/>
              <w:jc w:val="left"/>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严格按照下达预算的科目和项目执行，未出现截留、挤占、挪用、或擅自调整等问题。</w:t>
            </w:r>
          </w:p>
        </w:tc>
        <w:tc>
          <w:tcPr>
            <w:tcW w:w="7280" w:type="dxa"/>
            <w:gridSpan w:val="2"/>
            <w:tcBorders>
              <w:top w:val="single" w:color="000000" w:sz="4" w:space="0"/>
              <w:left w:val="single" w:color="000000" w:sz="4" w:space="0"/>
              <w:bottom w:val="single" w:color="000000" w:sz="4" w:space="0"/>
              <w:right w:val="single" w:color="000000" w:sz="4" w:space="0"/>
            </w:tcBorders>
            <w:noWrap w:val="0"/>
            <w:vAlign w:val="center"/>
          </w:tcPr>
          <w:p w14:paraId="12829309">
            <w:pPr>
              <w:widowControl/>
              <w:spacing w:line="300" w:lineRule="exact"/>
              <w:jc w:val="center"/>
              <w:rPr>
                <w:rFonts w:ascii="Times New Roman" w:hAnsi="Times New Roman" w:eastAsia="仿宋"/>
                <w:color w:val="000000"/>
                <w:sz w:val="20"/>
                <w:szCs w:val="20"/>
              </w:rPr>
            </w:pPr>
          </w:p>
        </w:tc>
      </w:tr>
      <w:tr w14:paraId="25CD68C5">
        <w:tblPrEx>
          <w:tblCellMar>
            <w:top w:w="0" w:type="dxa"/>
            <w:left w:w="108" w:type="dxa"/>
            <w:bottom w:w="0" w:type="dxa"/>
            <w:right w:w="108" w:type="dxa"/>
          </w:tblCellMar>
        </w:tblPrEx>
        <w:trPr>
          <w:trHeight w:val="450" w:hRule="atLeast"/>
          <w:jc w:val="center"/>
        </w:trPr>
        <w:tc>
          <w:tcPr>
            <w:tcW w:w="247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10CE05B">
            <w:pPr>
              <w:widowControl/>
              <w:spacing w:line="300" w:lineRule="exact"/>
              <w:jc w:val="center"/>
              <w:rPr>
                <w:rFonts w:ascii="Times New Roman" w:hAnsi="Times New Roman" w:eastAsia="仿宋"/>
                <w:color w:val="000000"/>
                <w:sz w:val="20"/>
                <w:szCs w:val="20"/>
              </w:rPr>
            </w:pPr>
          </w:p>
        </w:tc>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14:paraId="05796683">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执行准确性</w:t>
            </w:r>
          </w:p>
        </w:tc>
        <w:tc>
          <w:tcPr>
            <w:tcW w:w="3380" w:type="dxa"/>
            <w:gridSpan w:val="2"/>
            <w:tcBorders>
              <w:top w:val="single" w:color="000000" w:sz="4" w:space="0"/>
              <w:left w:val="single" w:color="000000" w:sz="4" w:space="0"/>
              <w:bottom w:val="single" w:color="000000" w:sz="4" w:space="0"/>
              <w:right w:val="single" w:color="000000" w:sz="4" w:space="0"/>
            </w:tcBorders>
            <w:noWrap w:val="0"/>
            <w:vAlign w:val="center"/>
          </w:tcPr>
          <w:p w14:paraId="654DE8F0">
            <w:pPr>
              <w:widowControl/>
              <w:spacing w:line="300" w:lineRule="exact"/>
              <w:jc w:val="left"/>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按照上级下达和本级预算安排的金额执行，不存在执行数值偏离预算数较多的问题。</w:t>
            </w:r>
          </w:p>
        </w:tc>
        <w:tc>
          <w:tcPr>
            <w:tcW w:w="7280" w:type="dxa"/>
            <w:gridSpan w:val="2"/>
            <w:tcBorders>
              <w:top w:val="single" w:color="000000" w:sz="4" w:space="0"/>
              <w:left w:val="single" w:color="000000" w:sz="4" w:space="0"/>
              <w:bottom w:val="single" w:color="000000" w:sz="4" w:space="0"/>
              <w:right w:val="single" w:color="000000" w:sz="4" w:space="0"/>
            </w:tcBorders>
            <w:noWrap w:val="0"/>
            <w:vAlign w:val="center"/>
          </w:tcPr>
          <w:p w14:paraId="559052A3">
            <w:pPr>
              <w:widowControl/>
              <w:spacing w:line="300" w:lineRule="exact"/>
              <w:jc w:val="center"/>
              <w:rPr>
                <w:rFonts w:ascii="Times New Roman" w:hAnsi="Times New Roman" w:eastAsia="仿宋"/>
                <w:color w:val="000000"/>
                <w:sz w:val="20"/>
                <w:szCs w:val="20"/>
              </w:rPr>
            </w:pPr>
          </w:p>
        </w:tc>
      </w:tr>
      <w:tr w14:paraId="6B5DBD04">
        <w:tblPrEx>
          <w:tblCellMar>
            <w:top w:w="0" w:type="dxa"/>
            <w:left w:w="108" w:type="dxa"/>
            <w:bottom w:w="0" w:type="dxa"/>
            <w:right w:w="108" w:type="dxa"/>
          </w:tblCellMar>
        </w:tblPrEx>
        <w:trPr>
          <w:trHeight w:val="675" w:hRule="atLeast"/>
          <w:jc w:val="center"/>
        </w:trPr>
        <w:tc>
          <w:tcPr>
            <w:tcW w:w="247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F4F6773">
            <w:pPr>
              <w:widowControl/>
              <w:spacing w:line="300" w:lineRule="exact"/>
              <w:jc w:val="center"/>
              <w:rPr>
                <w:rFonts w:ascii="Times New Roman" w:hAnsi="Times New Roman" w:eastAsia="仿宋"/>
                <w:color w:val="000000"/>
                <w:sz w:val="20"/>
                <w:szCs w:val="20"/>
              </w:rPr>
            </w:pPr>
          </w:p>
        </w:tc>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14:paraId="1238DEEB">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预算绩效管理情况</w:t>
            </w:r>
          </w:p>
        </w:tc>
        <w:tc>
          <w:tcPr>
            <w:tcW w:w="3380" w:type="dxa"/>
            <w:gridSpan w:val="2"/>
            <w:tcBorders>
              <w:top w:val="single" w:color="000000" w:sz="4" w:space="0"/>
              <w:left w:val="single" w:color="000000" w:sz="4" w:space="0"/>
              <w:bottom w:val="single" w:color="000000" w:sz="4" w:space="0"/>
              <w:right w:val="single" w:color="000000" w:sz="4" w:space="0"/>
            </w:tcBorders>
            <w:noWrap w:val="0"/>
            <w:vAlign w:val="center"/>
          </w:tcPr>
          <w:p w14:paraId="642FC4D4">
            <w:pPr>
              <w:widowControl/>
              <w:spacing w:line="300" w:lineRule="exact"/>
              <w:jc w:val="left"/>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在细化下达预算时同步下达绩效目标，将有关资金纳入本级预算或对下转移支付绩效管理，开展绩效监控和绩效评价。</w:t>
            </w:r>
          </w:p>
        </w:tc>
        <w:tc>
          <w:tcPr>
            <w:tcW w:w="7280" w:type="dxa"/>
            <w:gridSpan w:val="2"/>
            <w:tcBorders>
              <w:top w:val="single" w:color="000000" w:sz="4" w:space="0"/>
              <w:left w:val="single" w:color="000000" w:sz="4" w:space="0"/>
              <w:bottom w:val="single" w:color="000000" w:sz="4" w:space="0"/>
              <w:right w:val="single" w:color="000000" w:sz="4" w:space="0"/>
            </w:tcBorders>
            <w:noWrap w:val="0"/>
            <w:vAlign w:val="center"/>
          </w:tcPr>
          <w:p w14:paraId="51B62769">
            <w:pPr>
              <w:widowControl/>
              <w:spacing w:line="300" w:lineRule="exact"/>
              <w:jc w:val="center"/>
              <w:rPr>
                <w:rFonts w:ascii="Times New Roman" w:hAnsi="Times New Roman" w:eastAsia="仿宋"/>
                <w:color w:val="000000"/>
                <w:sz w:val="20"/>
                <w:szCs w:val="20"/>
              </w:rPr>
            </w:pPr>
          </w:p>
        </w:tc>
      </w:tr>
      <w:tr w14:paraId="618A120B">
        <w:tblPrEx>
          <w:tblCellMar>
            <w:top w:w="0" w:type="dxa"/>
            <w:left w:w="108" w:type="dxa"/>
            <w:bottom w:w="0" w:type="dxa"/>
            <w:right w:w="108" w:type="dxa"/>
          </w:tblCellMar>
        </w:tblPrEx>
        <w:trPr>
          <w:trHeight w:val="450" w:hRule="atLeast"/>
          <w:jc w:val="center"/>
        </w:trPr>
        <w:tc>
          <w:tcPr>
            <w:tcW w:w="247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ED10C25">
            <w:pPr>
              <w:widowControl/>
              <w:spacing w:line="300" w:lineRule="exact"/>
              <w:jc w:val="center"/>
              <w:rPr>
                <w:rFonts w:ascii="Times New Roman" w:hAnsi="Times New Roman" w:eastAsia="仿宋"/>
                <w:color w:val="000000"/>
                <w:sz w:val="20"/>
                <w:szCs w:val="20"/>
              </w:rPr>
            </w:pPr>
          </w:p>
        </w:tc>
        <w:tc>
          <w:tcPr>
            <w:tcW w:w="2451" w:type="dxa"/>
            <w:gridSpan w:val="2"/>
            <w:tcBorders>
              <w:top w:val="single" w:color="000000" w:sz="4" w:space="0"/>
              <w:left w:val="single" w:color="000000" w:sz="4" w:space="0"/>
              <w:bottom w:val="single" w:color="000000" w:sz="4" w:space="0"/>
              <w:right w:val="single" w:color="000000" w:sz="4" w:space="0"/>
            </w:tcBorders>
            <w:noWrap w:val="0"/>
            <w:vAlign w:val="center"/>
          </w:tcPr>
          <w:p w14:paraId="077704AD">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支出责任履行情况</w:t>
            </w:r>
          </w:p>
        </w:tc>
        <w:tc>
          <w:tcPr>
            <w:tcW w:w="3380" w:type="dxa"/>
            <w:gridSpan w:val="2"/>
            <w:tcBorders>
              <w:top w:val="single" w:color="000000" w:sz="4" w:space="0"/>
              <w:left w:val="single" w:color="000000" w:sz="4" w:space="0"/>
              <w:bottom w:val="single" w:color="000000" w:sz="4" w:space="0"/>
              <w:right w:val="single" w:color="000000" w:sz="4" w:space="0"/>
            </w:tcBorders>
            <w:noWrap w:val="0"/>
            <w:vAlign w:val="center"/>
          </w:tcPr>
          <w:p w14:paraId="2CA7CDDD">
            <w:pPr>
              <w:widowControl/>
              <w:spacing w:line="300" w:lineRule="exact"/>
              <w:jc w:val="left"/>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能够按照财政事权和支出责任划分有关规定，足额安排资金履行本级支出责任。</w:t>
            </w:r>
          </w:p>
        </w:tc>
        <w:tc>
          <w:tcPr>
            <w:tcW w:w="7280" w:type="dxa"/>
            <w:gridSpan w:val="2"/>
            <w:tcBorders>
              <w:top w:val="single" w:color="000000" w:sz="4" w:space="0"/>
              <w:left w:val="single" w:color="000000" w:sz="4" w:space="0"/>
              <w:bottom w:val="single" w:color="000000" w:sz="4" w:space="0"/>
              <w:right w:val="single" w:color="000000" w:sz="4" w:space="0"/>
            </w:tcBorders>
            <w:noWrap w:val="0"/>
            <w:vAlign w:val="center"/>
          </w:tcPr>
          <w:p w14:paraId="2AC114EA">
            <w:pPr>
              <w:widowControl/>
              <w:spacing w:line="300" w:lineRule="exact"/>
              <w:jc w:val="center"/>
              <w:rPr>
                <w:rFonts w:ascii="Times New Roman" w:hAnsi="Times New Roman" w:eastAsia="仿宋"/>
                <w:color w:val="000000"/>
                <w:sz w:val="20"/>
                <w:szCs w:val="20"/>
              </w:rPr>
            </w:pPr>
          </w:p>
        </w:tc>
      </w:tr>
      <w:tr w14:paraId="5AE0B75E">
        <w:tblPrEx>
          <w:tblCellMar>
            <w:top w:w="0" w:type="dxa"/>
            <w:left w:w="108" w:type="dxa"/>
            <w:bottom w:w="0" w:type="dxa"/>
            <w:right w:w="108" w:type="dxa"/>
          </w:tblCellMar>
        </w:tblPrEx>
        <w:trPr>
          <w:trHeight w:val="240" w:hRule="atLeast"/>
          <w:jc w:val="center"/>
        </w:trPr>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14:paraId="23889E0A">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年度总体目标</w:t>
            </w:r>
          </w:p>
        </w:tc>
        <w:tc>
          <w:tcPr>
            <w:tcW w:w="7542" w:type="dxa"/>
            <w:gridSpan w:val="6"/>
            <w:tcBorders>
              <w:top w:val="single" w:color="000000" w:sz="4" w:space="0"/>
              <w:left w:val="single" w:color="000000" w:sz="4" w:space="0"/>
              <w:bottom w:val="single" w:color="000000" w:sz="4" w:space="0"/>
              <w:right w:val="single" w:color="000000" w:sz="4" w:space="0"/>
            </w:tcBorders>
            <w:noWrap w:val="0"/>
            <w:vAlign w:val="center"/>
          </w:tcPr>
          <w:p w14:paraId="20279DDC">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总体目标</w:t>
            </w:r>
          </w:p>
        </w:tc>
        <w:tc>
          <w:tcPr>
            <w:tcW w:w="7280" w:type="dxa"/>
            <w:gridSpan w:val="2"/>
            <w:tcBorders>
              <w:top w:val="single" w:color="000000" w:sz="4" w:space="0"/>
              <w:left w:val="single" w:color="000000" w:sz="4" w:space="0"/>
              <w:bottom w:val="single" w:color="000000" w:sz="4" w:space="0"/>
              <w:right w:val="single" w:color="000000" w:sz="4" w:space="0"/>
            </w:tcBorders>
            <w:noWrap w:val="0"/>
            <w:vAlign w:val="center"/>
          </w:tcPr>
          <w:p w14:paraId="6F249338">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全年实际完成情况</w:t>
            </w:r>
          </w:p>
        </w:tc>
      </w:tr>
      <w:tr w14:paraId="550727DD">
        <w:tblPrEx>
          <w:tblCellMar>
            <w:top w:w="0" w:type="dxa"/>
            <w:left w:w="108" w:type="dxa"/>
            <w:bottom w:w="0" w:type="dxa"/>
            <w:right w:w="108" w:type="dxa"/>
          </w:tblCellMar>
        </w:tblPrEx>
        <w:trPr>
          <w:trHeight w:val="2240" w:hRule="atLeast"/>
          <w:jc w:val="center"/>
        </w:trPr>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54E203">
            <w:pPr>
              <w:widowControl/>
              <w:spacing w:line="300" w:lineRule="exact"/>
              <w:jc w:val="center"/>
              <w:rPr>
                <w:rFonts w:ascii="Times New Roman" w:hAnsi="Times New Roman" w:eastAsia="仿宋"/>
                <w:color w:val="000000"/>
                <w:sz w:val="20"/>
                <w:szCs w:val="20"/>
              </w:rPr>
            </w:pPr>
          </w:p>
        </w:tc>
        <w:tc>
          <w:tcPr>
            <w:tcW w:w="7542" w:type="dxa"/>
            <w:gridSpan w:val="6"/>
            <w:tcBorders>
              <w:top w:val="single" w:color="000000" w:sz="4" w:space="0"/>
              <w:left w:val="single" w:color="000000" w:sz="4" w:space="0"/>
              <w:bottom w:val="single" w:color="000000" w:sz="4" w:space="0"/>
              <w:right w:val="single" w:color="000000" w:sz="4" w:space="0"/>
            </w:tcBorders>
            <w:noWrap w:val="0"/>
            <w:vAlign w:val="center"/>
          </w:tcPr>
          <w:p w14:paraId="3C1D2366">
            <w:pPr>
              <w:widowControl/>
              <w:spacing w:line="300" w:lineRule="exact"/>
              <w:jc w:val="left"/>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1.支持提升农村地区“薄弱环节”的公共充换电服务保障能力，激发试点县及周边地区新能源汽车消费潜力；</w:t>
            </w:r>
            <w:r>
              <w:rPr>
                <w:rFonts w:ascii="Times New Roman" w:hAnsi="Times New Roman" w:eastAsia="仿宋"/>
                <w:color w:val="000000"/>
                <w:kern w:val="0"/>
                <w:sz w:val="20"/>
                <w:szCs w:val="20"/>
                <w:lang w:bidi="ar"/>
              </w:rPr>
              <w:br w:type="textWrapping"/>
            </w:r>
            <w:r>
              <w:rPr>
                <w:rFonts w:ascii="Times New Roman" w:hAnsi="Times New Roman" w:eastAsia="仿宋"/>
                <w:color w:val="000000"/>
                <w:kern w:val="0"/>
                <w:sz w:val="20"/>
                <w:szCs w:val="20"/>
                <w:lang w:bidi="ar"/>
              </w:rPr>
              <w:t>2.培育符合试点县及周边地区新能源汽车发展特点的充换电应用场景，完善提升县级邮政快递网点、农村物流节点、农村客货运场站、3A级及以下旅游景区、农村公路沿线、交通综合服务站等适宜新能源汽车充电场景的服务保障能力；</w:t>
            </w:r>
            <w:r>
              <w:rPr>
                <w:rFonts w:ascii="Times New Roman" w:hAnsi="Times New Roman" w:eastAsia="仿宋"/>
                <w:color w:val="000000"/>
                <w:kern w:val="0"/>
                <w:sz w:val="20"/>
                <w:szCs w:val="20"/>
                <w:lang w:bidi="ar"/>
              </w:rPr>
              <w:br w:type="textWrapping"/>
            </w:r>
            <w:r>
              <w:rPr>
                <w:rFonts w:ascii="Times New Roman" w:hAnsi="Times New Roman" w:eastAsia="仿宋"/>
                <w:color w:val="000000"/>
                <w:kern w:val="0"/>
                <w:sz w:val="20"/>
                <w:szCs w:val="20"/>
                <w:lang w:bidi="ar"/>
              </w:rPr>
              <w:t>3.培育新技术新模式在农村地区的推广应用。</w:t>
            </w:r>
          </w:p>
        </w:tc>
        <w:tc>
          <w:tcPr>
            <w:tcW w:w="7280" w:type="dxa"/>
            <w:gridSpan w:val="2"/>
            <w:tcBorders>
              <w:top w:val="single" w:color="000000" w:sz="4" w:space="0"/>
              <w:left w:val="single" w:color="000000" w:sz="4" w:space="0"/>
              <w:bottom w:val="single" w:color="000000" w:sz="4" w:space="0"/>
              <w:right w:val="single" w:color="000000" w:sz="4" w:space="0"/>
            </w:tcBorders>
            <w:noWrap w:val="0"/>
            <w:vAlign w:val="center"/>
          </w:tcPr>
          <w:p w14:paraId="3C412B23">
            <w:pPr>
              <w:widowControl/>
              <w:spacing w:line="300" w:lineRule="exact"/>
              <w:jc w:val="left"/>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中央节能减排补助资金（县域充换电设施补短板试点县预拨奖励资金）的投入，农村地区“薄弱环节”的公共充换电服务保障能力得到提升，试点县及周边地区新能源汽车消费潜力被激发，新技术新模式得到推广和应用。2024年，桃江县农村地区公共充换电设施网络覆盖率由40%提升到90%；双峰县新上车辆2618台，其中新能源汽车967台，渗透率达36.93%，新能源汽车渗透率较上年度提升27.36%；蓝山县新注册上牌汽车数量为</w:t>
            </w:r>
            <w:r>
              <w:rPr>
                <w:rFonts w:hint="eastAsia" w:ascii="Times New Roman" w:hAnsi="Times New Roman" w:eastAsia="仿宋"/>
                <w:color w:val="000000"/>
                <w:kern w:val="0"/>
                <w:sz w:val="20"/>
                <w:szCs w:val="20"/>
                <w:lang w:bidi="ar"/>
              </w:rPr>
              <w:t>1038</w:t>
            </w:r>
            <w:r>
              <w:rPr>
                <w:rFonts w:ascii="Times New Roman" w:hAnsi="Times New Roman" w:eastAsia="仿宋"/>
                <w:color w:val="000000"/>
                <w:kern w:val="0"/>
                <w:sz w:val="20"/>
                <w:szCs w:val="20"/>
                <w:lang w:bidi="ar"/>
              </w:rPr>
              <w:t>辆，其中新能源汽车数量为190辆，新能源汽车渗透率为</w:t>
            </w:r>
            <w:r>
              <w:rPr>
                <w:rFonts w:hint="eastAsia" w:ascii="Times New Roman" w:hAnsi="Times New Roman" w:eastAsia="仿宋"/>
                <w:color w:val="000000"/>
                <w:kern w:val="0"/>
                <w:sz w:val="20"/>
                <w:szCs w:val="20"/>
                <w:lang w:bidi="ar"/>
              </w:rPr>
              <w:t>18.3</w:t>
            </w:r>
            <w:r>
              <w:rPr>
                <w:rFonts w:ascii="Times New Roman" w:hAnsi="Times New Roman" w:eastAsia="仿宋"/>
                <w:color w:val="000000"/>
                <w:kern w:val="0"/>
                <w:sz w:val="20"/>
                <w:szCs w:val="20"/>
                <w:lang w:bidi="ar"/>
              </w:rPr>
              <w:t>%，相比同期渗透率增长</w:t>
            </w:r>
            <w:r>
              <w:rPr>
                <w:rFonts w:hint="eastAsia" w:ascii="Times New Roman" w:hAnsi="Times New Roman" w:eastAsia="仿宋"/>
                <w:color w:val="000000"/>
                <w:kern w:val="0"/>
                <w:sz w:val="20"/>
                <w:szCs w:val="20"/>
                <w:lang w:bidi="ar"/>
              </w:rPr>
              <w:t>2.7</w:t>
            </w:r>
            <w:r>
              <w:rPr>
                <w:rFonts w:ascii="Times New Roman" w:hAnsi="Times New Roman" w:eastAsia="仿宋"/>
                <w:color w:val="000000"/>
                <w:kern w:val="0"/>
                <w:sz w:val="20"/>
                <w:szCs w:val="20"/>
                <w:lang w:bidi="ar"/>
              </w:rPr>
              <w:t>%。</w:t>
            </w:r>
          </w:p>
        </w:tc>
      </w:tr>
      <w:tr w14:paraId="64D8B7A5">
        <w:tblPrEx>
          <w:tblCellMar>
            <w:top w:w="0" w:type="dxa"/>
            <w:left w:w="108" w:type="dxa"/>
            <w:bottom w:w="0" w:type="dxa"/>
            <w:right w:w="108" w:type="dxa"/>
          </w:tblCellMar>
        </w:tblPrEx>
        <w:trPr>
          <w:trHeight w:val="480" w:hRule="atLeast"/>
          <w:jc w:val="center"/>
        </w:trPr>
        <w:tc>
          <w:tcPr>
            <w:tcW w:w="768" w:type="dxa"/>
            <w:vMerge w:val="restart"/>
            <w:tcBorders>
              <w:top w:val="single" w:color="000000" w:sz="4" w:space="0"/>
              <w:left w:val="single" w:color="000000" w:sz="4" w:space="0"/>
              <w:right w:val="single" w:color="000000" w:sz="4" w:space="0"/>
            </w:tcBorders>
            <w:noWrap w:val="0"/>
            <w:textDirection w:val="tbRlV"/>
            <w:vAlign w:val="center"/>
          </w:tcPr>
          <w:p w14:paraId="2A804E1C">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绩效指标</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211BDBA1">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一级</w:t>
            </w:r>
            <w:r>
              <w:rPr>
                <w:rFonts w:ascii="Times New Roman" w:hAnsi="Times New Roman" w:eastAsia="仿宋"/>
                <w:color w:val="000000"/>
                <w:kern w:val="0"/>
                <w:sz w:val="20"/>
                <w:szCs w:val="20"/>
                <w:lang w:bidi="ar"/>
              </w:rPr>
              <w:br w:type="textWrapping"/>
            </w:r>
            <w:r>
              <w:rPr>
                <w:rFonts w:ascii="Times New Roman" w:hAnsi="Times New Roman" w:eastAsia="仿宋"/>
                <w:color w:val="000000"/>
                <w:kern w:val="0"/>
                <w:sz w:val="20"/>
                <w:szCs w:val="20"/>
                <w:lang w:bidi="ar"/>
              </w:rPr>
              <w:t>指标</w:t>
            </w:r>
          </w:p>
        </w:tc>
        <w:tc>
          <w:tcPr>
            <w:tcW w:w="1283" w:type="dxa"/>
            <w:gridSpan w:val="2"/>
            <w:tcBorders>
              <w:top w:val="single" w:color="000000" w:sz="4" w:space="0"/>
              <w:left w:val="single" w:color="000000" w:sz="4" w:space="0"/>
              <w:bottom w:val="single" w:color="000000" w:sz="4" w:space="0"/>
              <w:right w:val="single" w:color="000000" w:sz="4" w:space="0"/>
            </w:tcBorders>
            <w:noWrap w:val="0"/>
            <w:vAlign w:val="center"/>
          </w:tcPr>
          <w:p w14:paraId="6F62D109">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二级指标</w:t>
            </w:r>
          </w:p>
        </w:tc>
        <w:tc>
          <w:tcPr>
            <w:tcW w:w="3657" w:type="dxa"/>
            <w:gridSpan w:val="2"/>
            <w:tcBorders>
              <w:top w:val="single" w:color="000000" w:sz="4" w:space="0"/>
              <w:left w:val="single" w:color="000000" w:sz="4" w:space="0"/>
              <w:bottom w:val="single" w:color="000000" w:sz="4" w:space="0"/>
              <w:right w:val="single" w:color="000000" w:sz="4" w:space="0"/>
            </w:tcBorders>
            <w:noWrap w:val="0"/>
            <w:vAlign w:val="center"/>
          </w:tcPr>
          <w:p w14:paraId="7DC5C1A0">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三级指标</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6FD30CF1">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年度指标值</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17191244">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全年完成值</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414640">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未完成原因和改进措施</w:t>
            </w:r>
          </w:p>
        </w:tc>
      </w:tr>
      <w:tr w14:paraId="5DDA2112">
        <w:tblPrEx>
          <w:tblCellMar>
            <w:top w:w="0" w:type="dxa"/>
            <w:left w:w="108" w:type="dxa"/>
            <w:bottom w:w="0" w:type="dxa"/>
            <w:right w:w="108" w:type="dxa"/>
          </w:tblCellMar>
        </w:tblPrEx>
        <w:trPr>
          <w:trHeight w:val="720" w:hRule="atLeast"/>
          <w:jc w:val="center"/>
        </w:trPr>
        <w:tc>
          <w:tcPr>
            <w:tcW w:w="768" w:type="dxa"/>
            <w:vMerge w:val="continue"/>
            <w:tcBorders>
              <w:left w:val="single" w:color="000000" w:sz="4" w:space="0"/>
              <w:bottom w:val="single" w:color="000000" w:sz="4" w:space="0"/>
              <w:right w:val="single" w:color="000000" w:sz="4" w:space="0"/>
            </w:tcBorders>
            <w:noWrap w:val="0"/>
            <w:textDirection w:val="tbRlV"/>
            <w:vAlign w:val="center"/>
          </w:tcPr>
          <w:p w14:paraId="2681D554">
            <w:pPr>
              <w:widowControl/>
              <w:spacing w:line="300" w:lineRule="exact"/>
              <w:jc w:val="center"/>
              <w:rPr>
                <w:rFonts w:ascii="Times New Roman" w:hAnsi="Times New Roman" w:eastAsia="仿宋"/>
                <w:color w:val="000000"/>
                <w:sz w:val="20"/>
                <w:szCs w:val="20"/>
              </w:rPr>
            </w:pPr>
          </w:p>
        </w:tc>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8C558FF">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产出指标</w:t>
            </w:r>
          </w:p>
        </w:tc>
        <w:tc>
          <w:tcPr>
            <w:tcW w:w="1283" w:type="dxa"/>
            <w:gridSpan w:val="2"/>
            <w:tcBorders>
              <w:top w:val="single" w:color="000000" w:sz="4" w:space="0"/>
              <w:left w:val="single" w:color="000000" w:sz="4" w:space="0"/>
              <w:bottom w:val="single" w:color="000000" w:sz="4" w:space="0"/>
              <w:right w:val="single" w:color="000000" w:sz="4" w:space="0"/>
            </w:tcBorders>
            <w:noWrap w:val="0"/>
            <w:vAlign w:val="center"/>
          </w:tcPr>
          <w:p w14:paraId="799EE094">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数量指标</w:t>
            </w:r>
          </w:p>
        </w:tc>
        <w:tc>
          <w:tcPr>
            <w:tcW w:w="3657" w:type="dxa"/>
            <w:gridSpan w:val="2"/>
            <w:tcBorders>
              <w:top w:val="single" w:color="000000" w:sz="4" w:space="0"/>
              <w:left w:val="single" w:color="000000" w:sz="4" w:space="0"/>
              <w:bottom w:val="single" w:color="000000" w:sz="4" w:space="0"/>
              <w:right w:val="single" w:color="000000" w:sz="4" w:space="0"/>
            </w:tcBorders>
            <w:noWrap w:val="0"/>
            <w:vAlign w:val="center"/>
          </w:tcPr>
          <w:p w14:paraId="010260B2">
            <w:pPr>
              <w:widowControl/>
              <w:spacing w:line="300" w:lineRule="exact"/>
              <w:jc w:val="center"/>
              <w:textAlignment w:val="center"/>
              <w:rPr>
                <w:rFonts w:ascii="Times New Roman" w:hAnsi="Times New Roman" w:eastAsia="仿宋"/>
                <w:color w:val="000000"/>
                <w:kern w:val="0"/>
                <w:sz w:val="20"/>
                <w:szCs w:val="20"/>
                <w:lang w:bidi="ar"/>
              </w:rPr>
            </w:pPr>
            <w:r>
              <w:rPr>
                <w:rFonts w:ascii="Times New Roman" w:hAnsi="Times New Roman" w:eastAsia="仿宋"/>
                <w:color w:val="000000"/>
                <w:kern w:val="0"/>
                <w:sz w:val="20"/>
                <w:szCs w:val="20"/>
                <w:lang w:bidi="ar"/>
              </w:rPr>
              <w:t>第三档地区年度功率</w:t>
            </w:r>
          </w:p>
          <w:p w14:paraId="1220E56F">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利用率</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2E73129">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≥1.0%（2024年）</w:t>
            </w:r>
            <w:r>
              <w:rPr>
                <w:rFonts w:ascii="Times New Roman" w:hAnsi="Times New Roman" w:eastAsia="仿宋"/>
                <w:color w:val="000000"/>
                <w:kern w:val="0"/>
                <w:sz w:val="20"/>
                <w:szCs w:val="20"/>
                <w:lang w:bidi="ar"/>
              </w:rPr>
              <w:br w:type="textWrapping"/>
            </w:r>
            <w:r>
              <w:rPr>
                <w:rFonts w:ascii="Times New Roman" w:hAnsi="Times New Roman" w:eastAsia="仿宋"/>
                <w:color w:val="000000"/>
                <w:kern w:val="0"/>
                <w:sz w:val="20"/>
                <w:szCs w:val="20"/>
                <w:lang w:bidi="ar"/>
              </w:rPr>
              <w:t>≥1.5%（2025年）</w:t>
            </w:r>
            <w:r>
              <w:rPr>
                <w:rFonts w:ascii="Times New Roman" w:hAnsi="Times New Roman" w:eastAsia="仿宋"/>
                <w:color w:val="000000"/>
                <w:kern w:val="0"/>
                <w:sz w:val="20"/>
                <w:szCs w:val="20"/>
                <w:lang w:bidi="ar"/>
              </w:rPr>
              <w:br w:type="textWrapping"/>
            </w:r>
            <w:r>
              <w:rPr>
                <w:rFonts w:ascii="Times New Roman" w:hAnsi="Times New Roman" w:eastAsia="仿宋"/>
                <w:color w:val="000000"/>
                <w:kern w:val="0"/>
                <w:sz w:val="20"/>
                <w:szCs w:val="20"/>
                <w:lang w:bidi="ar"/>
              </w:rPr>
              <w:t>≥2.0%（2026年）</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41861738">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双峰县：4.15%                                                                                                                          桃江县：4.2%                                                                                                                        蓝山县：4.35%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65B9F2">
            <w:pPr>
              <w:widowControl/>
              <w:spacing w:line="300" w:lineRule="exact"/>
              <w:rPr>
                <w:rFonts w:ascii="Times New Roman" w:hAnsi="Times New Roman" w:eastAsia="仿宋"/>
                <w:color w:val="000000"/>
                <w:sz w:val="20"/>
                <w:szCs w:val="20"/>
              </w:rPr>
            </w:pPr>
          </w:p>
        </w:tc>
      </w:tr>
      <w:tr w14:paraId="4E6684AC">
        <w:tblPrEx>
          <w:tblCellMar>
            <w:top w:w="0" w:type="dxa"/>
            <w:left w:w="108" w:type="dxa"/>
            <w:bottom w:w="0" w:type="dxa"/>
            <w:right w:w="108" w:type="dxa"/>
          </w:tblCellMar>
        </w:tblPrEx>
        <w:trPr>
          <w:trHeight w:val="850" w:hRule="atLeast"/>
          <w:jc w:val="center"/>
        </w:trPr>
        <w:tc>
          <w:tcPr>
            <w:tcW w:w="768" w:type="dxa"/>
            <w:vMerge w:val="restart"/>
            <w:tcBorders>
              <w:top w:val="single" w:color="000000" w:sz="4" w:space="0"/>
              <w:left w:val="single" w:color="000000" w:sz="4" w:space="0"/>
              <w:right w:val="single" w:color="000000" w:sz="4" w:space="0"/>
            </w:tcBorders>
            <w:noWrap w:val="0"/>
            <w:textDirection w:val="tbRlV"/>
            <w:vAlign w:val="center"/>
          </w:tcPr>
          <w:p w14:paraId="2C46F83F">
            <w:pPr>
              <w:widowControl/>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绩效指标</w:t>
            </w: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E99BEB">
            <w:pPr>
              <w:widowControl/>
              <w:spacing w:line="300" w:lineRule="exact"/>
              <w:jc w:val="center"/>
              <w:rPr>
                <w:rFonts w:ascii="Times New Roman" w:hAnsi="Times New Roman" w:eastAsia="仿宋"/>
                <w:color w:val="000000"/>
                <w:sz w:val="20"/>
                <w:szCs w:val="20"/>
              </w:rPr>
            </w:pPr>
          </w:p>
        </w:tc>
        <w:tc>
          <w:tcPr>
            <w:tcW w:w="128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E108FC7">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质量指标</w:t>
            </w:r>
          </w:p>
        </w:tc>
        <w:tc>
          <w:tcPr>
            <w:tcW w:w="3657" w:type="dxa"/>
            <w:gridSpan w:val="2"/>
            <w:tcBorders>
              <w:top w:val="single" w:color="000000" w:sz="4" w:space="0"/>
              <w:left w:val="single" w:color="000000" w:sz="4" w:space="0"/>
              <w:bottom w:val="single" w:color="000000" w:sz="4" w:space="0"/>
              <w:right w:val="single" w:color="000000" w:sz="4" w:space="0"/>
            </w:tcBorders>
            <w:noWrap w:val="0"/>
            <w:vAlign w:val="center"/>
          </w:tcPr>
          <w:p w14:paraId="149A588A">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中央财政奖励资金用于符合试点政策要求的充换电基础设施的比例</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BEA70C8">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100%</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690D5B1C">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C95421">
            <w:pPr>
              <w:widowControl/>
              <w:spacing w:line="300" w:lineRule="exact"/>
              <w:rPr>
                <w:rFonts w:ascii="Times New Roman" w:hAnsi="Times New Roman" w:eastAsia="仿宋"/>
                <w:color w:val="000000"/>
                <w:sz w:val="20"/>
                <w:szCs w:val="20"/>
              </w:rPr>
            </w:pPr>
          </w:p>
        </w:tc>
      </w:tr>
      <w:tr w14:paraId="2E26281B">
        <w:tblPrEx>
          <w:tblCellMar>
            <w:top w:w="0" w:type="dxa"/>
            <w:left w:w="108" w:type="dxa"/>
            <w:bottom w:w="0" w:type="dxa"/>
            <w:right w:w="108" w:type="dxa"/>
          </w:tblCellMar>
        </w:tblPrEx>
        <w:trPr>
          <w:trHeight w:val="850" w:hRule="atLeast"/>
          <w:jc w:val="center"/>
        </w:trPr>
        <w:tc>
          <w:tcPr>
            <w:tcW w:w="768" w:type="dxa"/>
            <w:vMerge w:val="continue"/>
            <w:tcBorders>
              <w:left w:val="single" w:color="000000" w:sz="4" w:space="0"/>
              <w:right w:val="single" w:color="000000" w:sz="4" w:space="0"/>
            </w:tcBorders>
            <w:noWrap w:val="0"/>
            <w:textDirection w:val="tbRlV"/>
            <w:vAlign w:val="center"/>
          </w:tcPr>
          <w:p w14:paraId="43776A2D">
            <w:pPr>
              <w:widowControl/>
              <w:spacing w:line="300" w:lineRule="exact"/>
              <w:jc w:val="center"/>
              <w:rPr>
                <w:rFonts w:ascii="Times New Roman" w:hAnsi="Times New Roman" w:eastAsia="仿宋"/>
                <w:color w:val="000000"/>
                <w:sz w:val="20"/>
                <w:szCs w:val="20"/>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FC8DD5">
            <w:pPr>
              <w:widowControl/>
              <w:spacing w:line="300" w:lineRule="exact"/>
              <w:jc w:val="center"/>
              <w:rPr>
                <w:rFonts w:ascii="Times New Roman" w:hAnsi="Times New Roman" w:eastAsia="仿宋"/>
                <w:color w:val="000000"/>
                <w:sz w:val="20"/>
                <w:szCs w:val="20"/>
              </w:rPr>
            </w:pPr>
          </w:p>
        </w:tc>
        <w:tc>
          <w:tcPr>
            <w:tcW w:w="128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8DA3750">
            <w:pPr>
              <w:widowControl/>
              <w:spacing w:line="300" w:lineRule="exact"/>
              <w:jc w:val="center"/>
              <w:rPr>
                <w:rFonts w:ascii="Times New Roman" w:hAnsi="Times New Roman" w:eastAsia="仿宋"/>
                <w:color w:val="000000"/>
                <w:sz w:val="20"/>
                <w:szCs w:val="20"/>
              </w:rPr>
            </w:pPr>
          </w:p>
        </w:tc>
        <w:tc>
          <w:tcPr>
            <w:tcW w:w="3657" w:type="dxa"/>
            <w:gridSpan w:val="2"/>
            <w:tcBorders>
              <w:top w:val="single" w:color="000000" w:sz="4" w:space="0"/>
              <w:left w:val="single" w:color="000000" w:sz="4" w:space="0"/>
              <w:bottom w:val="single" w:color="000000" w:sz="4" w:space="0"/>
              <w:right w:val="single" w:color="000000" w:sz="4" w:space="0"/>
            </w:tcBorders>
            <w:noWrap w:val="0"/>
            <w:vAlign w:val="center"/>
          </w:tcPr>
          <w:p w14:paraId="0C9B6871">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中央财政奖励资金用于试点县充换电基础设施建设和运营等相关支出的比例</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3DDCE5A">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100%</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6E578EA2">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390763">
            <w:pPr>
              <w:widowControl/>
              <w:spacing w:line="300" w:lineRule="exact"/>
              <w:rPr>
                <w:rFonts w:ascii="Times New Roman" w:hAnsi="Times New Roman" w:eastAsia="仿宋"/>
                <w:color w:val="000000"/>
                <w:sz w:val="20"/>
                <w:szCs w:val="20"/>
              </w:rPr>
            </w:pPr>
          </w:p>
        </w:tc>
      </w:tr>
      <w:tr w14:paraId="604CD686">
        <w:tblPrEx>
          <w:tblCellMar>
            <w:top w:w="0" w:type="dxa"/>
            <w:left w:w="108" w:type="dxa"/>
            <w:bottom w:w="0" w:type="dxa"/>
            <w:right w:w="108" w:type="dxa"/>
          </w:tblCellMar>
        </w:tblPrEx>
        <w:trPr>
          <w:trHeight w:val="710" w:hRule="atLeast"/>
          <w:jc w:val="center"/>
        </w:trPr>
        <w:tc>
          <w:tcPr>
            <w:tcW w:w="768" w:type="dxa"/>
            <w:vMerge w:val="continue"/>
            <w:tcBorders>
              <w:left w:val="single" w:color="000000" w:sz="4" w:space="0"/>
              <w:right w:val="single" w:color="000000" w:sz="4" w:space="0"/>
            </w:tcBorders>
            <w:noWrap w:val="0"/>
            <w:textDirection w:val="tbRlV"/>
            <w:vAlign w:val="center"/>
          </w:tcPr>
          <w:p w14:paraId="10C5965C">
            <w:pPr>
              <w:widowControl/>
              <w:spacing w:line="300" w:lineRule="exact"/>
              <w:jc w:val="center"/>
              <w:rPr>
                <w:rFonts w:ascii="Times New Roman" w:hAnsi="Times New Roman" w:eastAsia="仿宋"/>
                <w:color w:val="000000"/>
                <w:sz w:val="20"/>
                <w:szCs w:val="20"/>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8EC96B">
            <w:pPr>
              <w:widowControl/>
              <w:spacing w:line="300" w:lineRule="exact"/>
              <w:jc w:val="center"/>
              <w:rPr>
                <w:rFonts w:ascii="Times New Roman" w:hAnsi="Times New Roman" w:eastAsia="仿宋"/>
                <w:color w:val="000000"/>
                <w:sz w:val="20"/>
                <w:szCs w:val="20"/>
              </w:rPr>
            </w:pPr>
          </w:p>
        </w:tc>
        <w:tc>
          <w:tcPr>
            <w:tcW w:w="128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5DA4AE5">
            <w:pPr>
              <w:widowControl/>
              <w:spacing w:line="300" w:lineRule="exact"/>
              <w:jc w:val="center"/>
              <w:rPr>
                <w:rFonts w:ascii="Times New Roman" w:hAnsi="Times New Roman" w:eastAsia="仿宋"/>
                <w:color w:val="000000"/>
                <w:sz w:val="20"/>
                <w:szCs w:val="20"/>
              </w:rPr>
            </w:pPr>
          </w:p>
        </w:tc>
        <w:tc>
          <w:tcPr>
            <w:tcW w:w="3657" w:type="dxa"/>
            <w:gridSpan w:val="2"/>
            <w:tcBorders>
              <w:top w:val="single" w:color="000000" w:sz="4" w:space="0"/>
              <w:left w:val="single" w:color="000000" w:sz="4" w:space="0"/>
              <w:bottom w:val="single" w:color="000000" w:sz="4" w:space="0"/>
              <w:right w:val="single" w:color="000000" w:sz="4" w:space="0"/>
            </w:tcBorders>
            <w:noWrap w:val="0"/>
            <w:vAlign w:val="center"/>
          </w:tcPr>
          <w:p w14:paraId="6348135D">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试点县新建充换电基础设施应面向全社会开放比例</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40C2D3D">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100%</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005D88FA">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967DB7">
            <w:pPr>
              <w:widowControl/>
              <w:spacing w:line="300" w:lineRule="exact"/>
              <w:rPr>
                <w:rFonts w:ascii="Times New Roman" w:hAnsi="Times New Roman" w:eastAsia="仿宋"/>
                <w:color w:val="000000"/>
                <w:sz w:val="20"/>
                <w:szCs w:val="20"/>
              </w:rPr>
            </w:pPr>
          </w:p>
        </w:tc>
      </w:tr>
      <w:tr w14:paraId="68FD17EF">
        <w:tblPrEx>
          <w:tblCellMar>
            <w:top w:w="0" w:type="dxa"/>
            <w:left w:w="108" w:type="dxa"/>
            <w:bottom w:w="0" w:type="dxa"/>
            <w:right w:w="108" w:type="dxa"/>
          </w:tblCellMar>
        </w:tblPrEx>
        <w:trPr>
          <w:trHeight w:val="770" w:hRule="atLeast"/>
          <w:jc w:val="center"/>
        </w:trPr>
        <w:tc>
          <w:tcPr>
            <w:tcW w:w="768" w:type="dxa"/>
            <w:vMerge w:val="continue"/>
            <w:tcBorders>
              <w:left w:val="single" w:color="000000" w:sz="4" w:space="0"/>
              <w:right w:val="single" w:color="000000" w:sz="4" w:space="0"/>
            </w:tcBorders>
            <w:noWrap w:val="0"/>
            <w:textDirection w:val="tbRlV"/>
            <w:vAlign w:val="center"/>
          </w:tcPr>
          <w:p w14:paraId="04ABDD01">
            <w:pPr>
              <w:widowControl/>
              <w:spacing w:line="300" w:lineRule="exact"/>
              <w:jc w:val="center"/>
              <w:rPr>
                <w:rFonts w:ascii="Times New Roman" w:hAnsi="Times New Roman" w:eastAsia="仿宋"/>
                <w:color w:val="000000"/>
                <w:sz w:val="20"/>
                <w:szCs w:val="20"/>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FF0ED1">
            <w:pPr>
              <w:widowControl/>
              <w:spacing w:line="300" w:lineRule="exact"/>
              <w:jc w:val="center"/>
              <w:rPr>
                <w:rFonts w:ascii="Times New Roman" w:hAnsi="Times New Roman" w:eastAsia="仿宋"/>
                <w:color w:val="000000"/>
                <w:sz w:val="20"/>
                <w:szCs w:val="20"/>
              </w:rPr>
            </w:pPr>
          </w:p>
        </w:tc>
        <w:tc>
          <w:tcPr>
            <w:tcW w:w="128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131F955">
            <w:pPr>
              <w:widowControl/>
              <w:spacing w:line="300" w:lineRule="exact"/>
              <w:jc w:val="center"/>
              <w:rPr>
                <w:rFonts w:ascii="Times New Roman" w:hAnsi="Times New Roman" w:eastAsia="仿宋"/>
                <w:color w:val="000000"/>
                <w:sz w:val="20"/>
                <w:szCs w:val="20"/>
              </w:rPr>
            </w:pPr>
          </w:p>
        </w:tc>
        <w:tc>
          <w:tcPr>
            <w:tcW w:w="3657" w:type="dxa"/>
            <w:gridSpan w:val="2"/>
            <w:tcBorders>
              <w:top w:val="single" w:color="000000" w:sz="4" w:space="0"/>
              <w:left w:val="single" w:color="000000" w:sz="4" w:space="0"/>
              <w:bottom w:val="single" w:color="000000" w:sz="4" w:space="0"/>
              <w:right w:val="single" w:color="000000" w:sz="4" w:space="0"/>
            </w:tcBorders>
            <w:noWrap w:val="0"/>
            <w:vAlign w:val="center"/>
          </w:tcPr>
          <w:p w14:paraId="29C0BA94">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新建充换电设施接入新能源汽车公共充换电基础设施奖励资金清算平台的比例</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11D660B6">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100%</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19AFC3D4">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55F4F5">
            <w:pPr>
              <w:widowControl/>
              <w:spacing w:line="300" w:lineRule="exact"/>
              <w:rPr>
                <w:rFonts w:ascii="Times New Roman" w:hAnsi="Times New Roman" w:eastAsia="仿宋"/>
                <w:color w:val="000000"/>
                <w:sz w:val="20"/>
                <w:szCs w:val="20"/>
              </w:rPr>
            </w:pPr>
          </w:p>
        </w:tc>
      </w:tr>
      <w:tr w14:paraId="5B37A814">
        <w:tblPrEx>
          <w:tblCellMar>
            <w:top w:w="0" w:type="dxa"/>
            <w:left w:w="108" w:type="dxa"/>
            <w:bottom w:w="0" w:type="dxa"/>
            <w:right w:w="108" w:type="dxa"/>
          </w:tblCellMar>
        </w:tblPrEx>
        <w:trPr>
          <w:trHeight w:val="720" w:hRule="atLeast"/>
          <w:jc w:val="center"/>
        </w:trPr>
        <w:tc>
          <w:tcPr>
            <w:tcW w:w="768" w:type="dxa"/>
            <w:vMerge w:val="continue"/>
            <w:tcBorders>
              <w:left w:val="single" w:color="000000" w:sz="4" w:space="0"/>
              <w:right w:val="single" w:color="000000" w:sz="4" w:space="0"/>
            </w:tcBorders>
            <w:noWrap w:val="0"/>
            <w:textDirection w:val="tbRlV"/>
            <w:vAlign w:val="center"/>
          </w:tcPr>
          <w:p w14:paraId="3E1F2ECE">
            <w:pPr>
              <w:widowControl/>
              <w:spacing w:line="300" w:lineRule="exact"/>
              <w:jc w:val="center"/>
              <w:rPr>
                <w:rFonts w:ascii="Times New Roman" w:hAnsi="Times New Roman" w:eastAsia="仿宋"/>
                <w:color w:val="000000"/>
                <w:sz w:val="20"/>
                <w:szCs w:val="20"/>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293C61">
            <w:pPr>
              <w:widowControl/>
              <w:spacing w:line="300" w:lineRule="exact"/>
              <w:jc w:val="center"/>
              <w:rPr>
                <w:rFonts w:ascii="Times New Roman" w:hAnsi="Times New Roman" w:eastAsia="仿宋"/>
                <w:color w:val="000000"/>
                <w:sz w:val="20"/>
                <w:szCs w:val="20"/>
              </w:rPr>
            </w:pPr>
          </w:p>
        </w:tc>
        <w:tc>
          <w:tcPr>
            <w:tcW w:w="128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DC0D1B5">
            <w:pPr>
              <w:widowControl/>
              <w:spacing w:line="300" w:lineRule="exact"/>
              <w:jc w:val="center"/>
              <w:rPr>
                <w:rFonts w:ascii="Times New Roman" w:hAnsi="Times New Roman" w:eastAsia="仿宋"/>
                <w:color w:val="000000"/>
                <w:sz w:val="20"/>
                <w:szCs w:val="20"/>
              </w:rPr>
            </w:pPr>
          </w:p>
        </w:tc>
        <w:tc>
          <w:tcPr>
            <w:tcW w:w="3657" w:type="dxa"/>
            <w:gridSpan w:val="2"/>
            <w:tcBorders>
              <w:top w:val="single" w:color="000000" w:sz="4" w:space="0"/>
              <w:left w:val="single" w:color="000000" w:sz="4" w:space="0"/>
              <w:bottom w:val="single" w:color="000000" w:sz="4" w:space="0"/>
              <w:right w:val="single" w:color="000000" w:sz="4" w:space="0"/>
            </w:tcBorders>
            <w:noWrap w:val="0"/>
            <w:vAlign w:val="center"/>
          </w:tcPr>
          <w:p w14:paraId="3B760708">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试点县新建充换电基础设施可用率</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563036D">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≥99%</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755329D0">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双峰县：99.25%</w:t>
            </w:r>
            <w:r>
              <w:rPr>
                <w:rFonts w:ascii="Times New Roman" w:hAnsi="Times New Roman" w:eastAsia="仿宋"/>
                <w:color w:val="000000"/>
                <w:kern w:val="0"/>
                <w:sz w:val="20"/>
                <w:szCs w:val="20"/>
                <w:lang w:bidi="ar"/>
              </w:rPr>
              <w:br w:type="textWrapping"/>
            </w:r>
            <w:r>
              <w:rPr>
                <w:rFonts w:ascii="Times New Roman" w:hAnsi="Times New Roman" w:eastAsia="仿宋"/>
                <w:color w:val="000000"/>
                <w:kern w:val="0"/>
                <w:sz w:val="20"/>
                <w:szCs w:val="20"/>
                <w:lang w:bidi="ar"/>
              </w:rPr>
              <w:t>桃江县：100%</w:t>
            </w:r>
            <w:r>
              <w:rPr>
                <w:rFonts w:ascii="Times New Roman" w:hAnsi="Times New Roman" w:eastAsia="仿宋"/>
                <w:color w:val="000000"/>
                <w:kern w:val="0"/>
                <w:sz w:val="20"/>
                <w:szCs w:val="20"/>
                <w:lang w:bidi="ar"/>
              </w:rPr>
              <w:br w:type="textWrapping"/>
            </w:r>
            <w:r>
              <w:rPr>
                <w:rFonts w:ascii="Times New Roman" w:hAnsi="Times New Roman" w:eastAsia="仿宋"/>
                <w:color w:val="000000"/>
                <w:kern w:val="0"/>
                <w:sz w:val="20"/>
                <w:szCs w:val="20"/>
                <w:lang w:bidi="ar"/>
              </w:rPr>
              <w:t>蓝山县：100%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98B5D6">
            <w:pPr>
              <w:widowControl/>
              <w:spacing w:line="300" w:lineRule="exact"/>
              <w:rPr>
                <w:rFonts w:ascii="Times New Roman" w:hAnsi="Times New Roman" w:eastAsia="仿宋"/>
                <w:color w:val="000000"/>
                <w:sz w:val="20"/>
                <w:szCs w:val="20"/>
              </w:rPr>
            </w:pPr>
          </w:p>
        </w:tc>
      </w:tr>
      <w:tr w14:paraId="7F60E3CF">
        <w:tblPrEx>
          <w:tblCellMar>
            <w:top w:w="0" w:type="dxa"/>
            <w:left w:w="108" w:type="dxa"/>
            <w:bottom w:w="0" w:type="dxa"/>
            <w:right w:w="108" w:type="dxa"/>
          </w:tblCellMar>
        </w:tblPrEx>
        <w:trPr>
          <w:trHeight w:val="480" w:hRule="atLeast"/>
          <w:jc w:val="center"/>
        </w:trPr>
        <w:tc>
          <w:tcPr>
            <w:tcW w:w="768" w:type="dxa"/>
            <w:vMerge w:val="continue"/>
            <w:tcBorders>
              <w:left w:val="single" w:color="000000" w:sz="4" w:space="0"/>
              <w:right w:val="single" w:color="000000" w:sz="4" w:space="0"/>
            </w:tcBorders>
            <w:noWrap w:val="0"/>
            <w:textDirection w:val="tbRlV"/>
            <w:vAlign w:val="center"/>
          </w:tcPr>
          <w:p w14:paraId="18C0FF0E">
            <w:pPr>
              <w:widowControl/>
              <w:spacing w:line="300" w:lineRule="exact"/>
              <w:jc w:val="center"/>
              <w:rPr>
                <w:rFonts w:ascii="Times New Roman" w:hAnsi="Times New Roman" w:eastAsia="仿宋"/>
                <w:color w:val="000000"/>
                <w:sz w:val="20"/>
                <w:szCs w:val="20"/>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018B7C">
            <w:pPr>
              <w:widowControl/>
              <w:spacing w:line="300" w:lineRule="exact"/>
              <w:jc w:val="center"/>
              <w:rPr>
                <w:rFonts w:ascii="Times New Roman" w:hAnsi="Times New Roman" w:eastAsia="仿宋"/>
                <w:color w:val="000000"/>
                <w:sz w:val="20"/>
                <w:szCs w:val="20"/>
              </w:rPr>
            </w:pPr>
          </w:p>
        </w:tc>
        <w:tc>
          <w:tcPr>
            <w:tcW w:w="128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CCA56D9">
            <w:pPr>
              <w:widowControl/>
              <w:spacing w:line="300" w:lineRule="exact"/>
              <w:jc w:val="center"/>
              <w:rPr>
                <w:rFonts w:ascii="Times New Roman" w:hAnsi="Times New Roman" w:eastAsia="仿宋"/>
                <w:color w:val="000000"/>
                <w:sz w:val="20"/>
                <w:szCs w:val="20"/>
              </w:rPr>
            </w:pPr>
          </w:p>
        </w:tc>
        <w:tc>
          <w:tcPr>
            <w:tcW w:w="3657" w:type="dxa"/>
            <w:gridSpan w:val="2"/>
            <w:tcBorders>
              <w:top w:val="single" w:color="000000" w:sz="4" w:space="0"/>
              <w:left w:val="single" w:color="000000" w:sz="4" w:space="0"/>
              <w:bottom w:val="single" w:color="000000" w:sz="4" w:space="0"/>
              <w:right w:val="single" w:color="000000" w:sz="4" w:space="0"/>
            </w:tcBorders>
            <w:noWrap w:val="0"/>
            <w:vAlign w:val="center"/>
          </w:tcPr>
          <w:p w14:paraId="503E927B">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试点县新建充换电基础设施额定功率</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598F5E18">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≥120kW</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76BB178B">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≥120kW</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FB04A5">
            <w:pPr>
              <w:widowControl/>
              <w:spacing w:line="300" w:lineRule="exact"/>
              <w:rPr>
                <w:rFonts w:ascii="Times New Roman" w:hAnsi="Times New Roman" w:eastAsia="仿宋"/>
                <w:color w:val="000000"/>
                <w:sz w:val="20"/>
                <w:szCs w:val="20"/>
              </w:rPr>
            </w:pPr>
          </w:p>
        </w:tc>
      </w:tr>
      <w:tr w14:paraId="1ED86669">
        <w:tblPrEx>
          <w:tblCellMar>
            <w:top w:w="0" w:type="dxa"/>
            <w:left w:w="108" w:type="dxa"/>
            <w:bottom w:w="0" w:type="dxa"/>
            <w:right w:w="108" w:type="dxa"/>
          </w:tblCellMar>
        </w:tblPrEx>
        <w:trPr>
          <w:trHeight w:val="400" w:hRule="atLeast"/>
          <w:jc w:val="center"/>
        </w:trPr>
        <w:tc>
          <w:tcPr>
            <w:tcW w:w="768" w:type="dxa"/>
            <w:vMerge w:val="continue"/>
            <w:tcBorders>
              <w:left w:val="single" w:color="000000" w:sz="4" w:space="0"/>
              <w:right w:val="single" w:color="000000" w:sz="4" w:space="0"/>
            </w:tcBorders>
            <w:noWrap w:val="0"/>
            <w:textDirection w:val="tbRlV"/>
            <w:vAlign w:val="center"/>
          </w:tcPr>
          <w:p w14:paraId="4584FE72">
            <w:pPr>
              <w:widowControl/>
              <w:spacing w:line="300" w:lineRule="exact"/>
              <w:jc w:val="center"/>
              <w:rPr>
                <w:rFonts w:ascii="Times New Roman" w:hAnsi="Times New Roman" w:eastAsia="仿宋"/>
                <w:color w:val="000000"/>
                <w:sz w:val="20"/>
                <w:szCs w:val="20"/>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144420">
            <w:pPr>
              <w:widowControl/>
              <w:spacing w:line="300" w:lineRule="exact"/>
              <w:jc w:val="center"/>
              <w:rPr>
                <w:rFonts w:ascii="Times New Roman" w:hAnsi="Times New Roman" w:eastAsia="仿宋"/>
                <w:color w:val="000000"/>
                <w:sz w:val="20"/>
                <w:szCs w:val="20"/>
              </w:rPr>
            </w:pPr>
          </w:p>
        </w:tc>
        <w:tc>
          <w:tcPr>
            <w:tcW w:w="128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7977747">
            <w:pPr>
              <w:widowControl/>
              <w:spacing w:line="300" w:lineRule="exact"/>
              <w:jc w:val="center"/>
              <w:rPr>
                <w:rFonts w:ascii="Times New Roman" w:hAnsi="Times New Roman" w:eastAsia="仿宋"/>
                <w:color w:val="000000"/>
                <w:sz w:val="20"/>
                <w:szCs w:val="20"/>
              </w:rPr>
            </w:pPr>
          </w:p>
        </w:tc>
        <w:tc>
          <w:tcPr>
            <w:tcW w:w="3657" w:type="dxa"/>
            <w:gridSpan w:val="2"/>
            <w:tcBorders>
              <w:top w:val="single" w:color="000000" w:sz="4" w:space="0"/>
              <w:left w:val="single" w:color="000000" w:sz="4" w:space="0"/>
              <w:bottom w:val="single" w:color="000000" w:sz="4" w:space="0"/>
              <w:right w:val="single" w:color="000000" w:sz="4" w:space="0"/>
            </w:tcBorders>
            <w:noWrap w:val="0"/>
            <w:vAlign w:val="center"/>
          </w:tcPr>
          <w:p w14:paraId="3C1A4943">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充换电设施支持管理政策体系</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D02C38C">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有所完善</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48E3471F">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明显完善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4B617C">
            <w:pPr>
              <w:widowControl/>
              <w:spacing w:line="300" w:lineRule="exact"/>
              <w:rPr>
                <w:rFonts w:ascii="Times New Roman" w:hAnsi="Times New Roman" w:eastAsia="仿宋"/>
                <w:color w:val="000000"/>
                <w:sz w:val="20"/>
                <w:szCs w:val="20"/>
              </w:rPr>
            </w:pPr>
          </w:p>
        </w:tc>
      </w:tr>
      <w:tr w14:paraId="56EBAFED">
        <w:tblPrEx>
          <w:tblCellMar>
            <w:top w:w="0" w:type="dxa"/>
            <w:left w:w="108" w:type="dxa"/>
            <w:bottom w:w="0" w:type="dxa"/>
            <w:right w:w="108" w:type="dxa"/>
          </w:tblCellMar>
        </w:tblPrEx>
        <w:trPr>
          <w:trHeight w:val="1020" w:hRule="atLeast"/>
          <w:jc w:val="center"/>
        </w:trPr>
        <w:tc>
          <w:tcPr>
            <w:tcW w:w="768" w:type="dxa"/>
            <w:vMerge w:val="continue"/>
            <w:tcBorders>
              <w:left w:val="single" w:color="000000" w:sz="4" w:space="0"/>
              <w:right w:val="single" w:color="000000" w:sz="4" w:space="0"/>
            </w:tcBorders>
            <w:noWrap w:val="0"/>
            <w:textDirection w:val="tbRlV"/>
            <w:vAlign w:val="center"/>
          </w:tcPr>
          <w:p w14:paraId="505DDFDE">
            <w:pPr>
              <w:widowControl/>
              <w:spacing w:line="300" w:lineRule="exact"/>
              <w:jc w:val="center"/>
              <w:rPr>
                <w:rFonts w:ascii="Times New Roman" w:hAnsi="Times New Roman" w:eastAsia="仿宋"/>
                <w:color w:val="000000"/>
                <w:sz w:val="20"/>
                <w:szCs w:val="20"/>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034AAB">
            <w:pPr>
              <w:widowControl/>
              <w:spacing w:line="300" w:lineRule="exact"/>
              <w:jc w:val="center"/>
              <w:rPr>
                <w:rFonts w:ascii="Times New Roman" w:hAnsi="Times New Roman" w:eastAsia="仿宋"/>
                <w:color w:val="000000"/>
                <w:sz w:val="20"/>
                <w:szCs w:val="20"/>
              </w:rPr>
            </w:pPr>
          </w:p>
        </w:tc>
        <w:tc>
          <w:tcPr>
            <w:tcW w:w="128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BE11E4E">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时效指标</w:t>
            </w:r>
          </w:p>
        </w:tc>
        <w:tc>
          <w:tcPr>
            <w:tcW w:w="3657" w:type="dxa"/>
            <w:gridSpan w:val="2"/>
            <w:tcBorders>
              <w:top w:val="single" w:color="000000" w:sz="4" w:space="0"/>
              <w:left w:val="single" w:color="000000" w:sz="4" w:space="0"/>
              <w:bottom w:val="single" w:color="000000" w:sz="4" w:space="0"/>
              <w:right w:val="single" w:color="000000" w:sz="4" w:space="0"/>
            </w:tcBorders>
            <w:noWrap w:val="0"/>
            <w:vAlign w:val="center"/>
          </w:tcPr>
          <w:p w14:paraId="5D72A0D3">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年度新建充换电设施数量(台)目标完成率</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290938F2">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100%</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1317F6CD">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双峰县：</w:t>
            </w:r>
            <w:r>
              <w:rPr>
                <w:rFonts w:hint="eastAsia" w:ascii="Times New Roman" w:hAnsi="Times New Roman" w:eastAsia="仿宋"/>
                <w:color w:val="000000"/>
                <w:kern w:val="0"/>
                <w:sz w:val="20"/>
                <w:szCs w:val="20"/>
                <w:lang w:bidi="ar"/>
              </w:rPr>
              <w:t>41.1</w:t>
            </w:r>
            <w:r>
              <w:rPr>
                <w:rFonts w:ascii="Times New Roman" w:hAnsi="Times New Roman" w:eastAsia="仿宋"/>
                <w:color w:val="000000"/>
                <w:kern w:val="0"/>
                <w:sz w:val="20"/>
                <w:szCs w:val="20"/>
                <w:lang w:bidi="ar"/>
              </w:rPr>
              <w:t>%</w:t>
            </w:r>
            <w:r>
              <w:rPr>
                <w:rFonts w:ascii="Times New Roman" w:hAnsi="Times New Roman" w:eastAsia="仿宋"/>
                <w:color w:val="000000"/>
                <w:kern w:val="0"/>
                <w:sz w:val="20"/>
                <w:szCs w:val="20"/>
                <w:lang w:bidi="ar"/>
              </w:rPr>
              <w:br w:type="textWrapping"/>
            </w:r>
            <w:r>
              <w:rPr>
                <w:rFonts w:ascii="Times New Roman" w:hAnsi="Times New Roman" w:eastAsia="仿宋"/>
                <w:color w:val="000000"/>
                <w:kern w:val="0"/>
                <w:sz w:val="20"/>
                <w:szCs w:val="20"/>
                <w:lang w:bidi="ar"/>
              </w:rPr>
              <w:t>桃江县：100%</w:t>
            </w:r>
            <w:r>
              <w:rPr>
                <w:rFonts w:ascii="Times New Roman" w:hAnsi="Times New Roman" w:eastAsia="仿宋"/>
                <w:color w:val="000000"/>
                <w:kern w:val="0"/>
                <w:sz w:val="20"/>
                <w:szCs w:val="20"/>
                <w:lang w:bidi="ar"/>
              </w:rPr>
              <w:br w:type="textWrapping"/>
            </w:r>
            <w:r>
              <w:rPr>
                <w:rFonts w:ascii="Times New Roman" w:hAnsi="Times New Roman" w:eastAsia="仿宋"/>
                <w:color w:val="000000"/>
                <w:kern w:val="0"/>
                <w:sz w:val="20"/>
                <w:szCs w:val="20"/>
                <w:lang w:bidi="ar"/>
              </w:rPr>
              <w:t>蓝山县：</w:t>
            </w:r>
            <w:r>
              <w:rPr>
                <w:rFonts w:hint="eastAsia" w:ascii="Times New Roman" w:hAnsi="Times New Roman" w:eastAsia="仿宋"/>
                <w:color w:val="000000"/>
                <w:kern w:val="0"/>
                <w:sz w:val="20"/>
                <w:szCs w:val="20"/>
                <w:lang w:bidi="ar"/>
              </w:rPr>
              <w:t>32.1</w:t>
            </w:r>
            <w:r>
              <w:rPr>
                <w:rFonts w:ascii="Times New Roman" w:hAnsi="Times New Roman" w:eastAsia="仿宋"/>
                <w:color w:val="000000"/>
                <w:kern w:val="0"/>
                <w:sz w:val="20"/>
                <w:szCs w:val="20"/>
                <w:lang w:bidi="ar"/>
              </w:rPr>
              <w:t>%</w:t>
            </w:r>
          </w:p>
        </w:tc>
        <w:tc>
          <w:tcPr>
            <w:tcW w:w="3293" w:type="dxa"/>
            <w:vMerge w:val="restart"/>
            <w:tcBorders>
              <w:top w:val="single" w:color="000000" w:sz="4" w:space="0"/>
              <w:left w:val="single" w:color="000000" w:sz="4" w:space="0"/>
              <w:right w:val="single" w:color="000000" w:sz="4" w:space="0"/>
            </w:tcBorders>
            <w:noWrap/>
            <w:vAlign w:val="center"/>
          </w:tcPr>
          <w:p w14:paraId="1B8A2A4F">
            <w:pPr>
              <w:widowControl/>
              <w:spacing w:line="300" w:lineRule="exact"/>
              <w:rPr>
                <w:rFonts w:ascii="Times New Roman" w:hAnsi="Times New Roman" w:eastAsia="仿宋"/>
                <w:color w:val="000000"/>
                <w:sz w:val="20"/>
                <w:szCs w:val="20"/>
                <w:lang w:val="en"/>
              </w:rPr>
            </w:pPr>
            <w:r>
              <w:rPr>
                <w:rFonts w:hint="eastAsia" w:ascii="Times New Roman" w:hAnsi="Times New Roman" w:eastAsia="仿宋"/>
                <w:color w:val="000000"/>
                <w:sz w:val="20"/>
                <w:szCs w:val="20"/>
              </w:rPr>
              <w:t>主要原因：一是建设运营模式选择迟缓；二是选择的实施单位技术能力较弱；三是实施模式探索不当；四是与国家清算平台沟通不畅导致技术疏漏。</w:t>
            </w:r>
            <w:r>
              <w:rPr>
                <w:rFonts w:ascii="Times New Roman" w:hAnsi="Times New Roman" w:eastAsia="仿宋"/>
                <w:color w:val="000000"/>
                <w:sz w:val="20"/>
                <w:szCs w:val="20"/>
                <w:lang w:val="en"/>
              </w:rPr>
              <w:t>主要</w:t>
            </w:r>
            <w:r>
              <w:rPr>
                <w:rFonts w:hint="eastAsia" w:ascii="Times New Roman" w:hAnsi="Times New Roman" w:eastAsia="仿宋"/>
                <w:color w:val="000000"/>
                <w:sz w:val="20"/>
                <w:szCs w:val="20"/>
              </w:rPr>
              <w:t>举措：一是加强规划引领与布局优化；二是强化资金监管与绩效管理；三是推动技术创新与模式探索；四是加强宣传与政策引导。</w:t>
            </w:r>
            <w:r>
              <w:rPr>
                <w:rFonts w:ascii="Times New Roman" w:hAnsi="Times New Roman" w:eastAsia="仿宋"/>
                <w:color w:val="000000"/>
                <w:sz w:val="20"/>
                <w:szCs w:val="20"/>
                <w:lang w:val="en"/>
              </w:rPr>
              <w:t>目前已经整改到位。</w:t>
            </w:r>
          </w:p>
        </w:tc>
      </w:tr>
      <w:tr w14:paraId="7FFB7B82">
        <w:tblPrEx>
          <w:tblCellMar>
            <w:top w:w="0" w:type="dxa"/>
            <w:left w:w="108" w:type="dxa"/>
            <w:bottom w:w="0" w:type="dxa"/>
            <w:right w:w="108" w:type="dxa"/>
          </w:tblCellMar>
        </w:tblPrEx>
        <w:trPr>
          <w:trHeight w:val="1020" w:hRule="atLeast"/>
          <w:jc w:val="center"/>
        </w:trPr>
        <w:tc>
          <w:tcPr>
            <w:tcW w:w="768" w:type="dxa"/>
            <w:vMerge w:val="continue"/>
            <w:tcBorders>
              <w:left w:val="single" w:color="000000" w:sz="4" w:space="0"/>
              <w:right w:val="single" w:color="000000" w:sz="4" w:space="0"/>
            </w:tcBorders>
            <w:noWrap w:val="0"/>
            <w:textDirection w:val="tbRlV"/>
            <w:vAlign w:val="center"/>
          </w:tcPr>
          <w:p w14:paraId="469E1B65">
            <w:pPr>
              <w:widowControl/>
              <w:spacing w:line="300" w:lineRule="exact"/>
              <w:jc w:val="center"/>
              <w:rPr>
                <w:rFonts w:ascii="Times New Roman" w:hAnsi="Times New Roman" w:eastAsia="仿宋"/>
                <w:color w:val="000000"/>
                <w:sz w:val="20"/>
                <w:szCs w:val="20"/>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80A7CD">
            <w:pPr>
              <w:widowControl/>
              <w:spacing w:line="300" w:lineRule="exact"/>
              <w:jc w:val="center"/>
              <w:rPr>
                <w:rFonts w:ascii="Times New Roman" w:hAnsi="Times New Roman" w:eastAsia="仿宋"/>
                <w:color w:val="000000"/>
                <w:sz w:val="20"/>
                <w:szCs w:val="20"/>
              </w:rPr>
            </w:pPr>
          </w:p>
        </w:tc>
        <w:tc>
          <w:tcPr>
            <w:tcW w:w="128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6A45B78">
            <w:pPr>
              <w:widowControl/>
              <w:spacing w:line="300" w:lineRule="exact"/>
              <w:jc w:val="center"/>
              <w:rPr>
                <w:rFonts w:ascii="Times New Roman" w:hAnsi="Times New Roman" w:eastAsia="仿宋"/>
                <w:color w:val="000000"/>
                <w:sz w:val="20"/>
                <w:szCs w:val="20"/>
              </w:rPr>
            </w:pPr>
          </w:p>
        </w:tc>
        <w:tc>
          <w:tcPr>
            <w:tcW w:w="3657" w:type="dxa"/>
            <w:gridSpan w:val="2"/>
            <w:tcBorders>
              <w:top w:val="single" w:color="000000" w:sz="4" w:space="0"/>
              <w:left w:val="single" w:color="000000" w:sz="4" w:space="0"/>
              <w:bottom w:val="single" w:color="000000" w:sz="4" w:space="0"/>
              <w:right w:val="single" w:color="000000" w:sz="4" w:space="0"/>
            </w:tcBorders>
            <w:noWrap w:val="0"/>
            <w:vAlign w:val="center"/>
          </w:tcPr>
          <w:p w14:paraId="43A9D828">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年度新建充换电设施总功率(千瓦)目标完成率</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92A7721">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100%</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0A94F92E">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双峰县：</w:t>
            </w:r>
            <w:r>
              <w:rPr>
                <w:rFonts w:hint="eastAsia" w:ascii="Times New Roman" w:hAnsi="Times New Roman" w:eastAsia="仿宋"/>
                <w:color w:val="000000"/>
                <w:kern w:val="0"/>
                <w:sz w:val="20"/>
                <w:szCs w:val="20"/>
                <w:lang w:bidi="ar"/>
              </w:rPr>
              <w:t>40</w:t>
            </w:r>
            <w:r>
              <w:rPr>
                <w:rFonts w:ascii="Times New Roman" w:hAnsi="Times New Roman" w:eastAsia="仿宋"/>
                <w:color w:val="000000"/>
                <w:kern w:val="0"/>
                <w:sz w:val="20"/>
                <w:szCs w:val="20"/>
                <w:lang w:bidi="ar"/>
              </w:rPr>
              <w:t>%</w:t>
            </w:r>
            <w:r>
              <w:rPr>
                <w:rFonts w:ascii="Times New Roman" w:hAnsi="Times New Roman" w:eastAsia="仿宋"/>
                <w:color w:val="000000"/>
                <w:kern w:val="0"/>
                <w:sz w:val="20"/>
                <w:szCs w:val="20"/>
                <w:lang w:bidi="ar"/>
              </w:rPr>
              <w:br w:type="textWrapping"/>
            </w:r>
            <w:r>
              <w:rPr>
                <w:rFonts w:ascii="Times New Roman" w:hAnsi="Times New Roman" w:eastAsia="仿宋"/>
                <w:color w:val="000000"/>
                <w:kern w:val="0"/>
                <w:sz w:val="20"/>
                <w:szCs w:val="20"/>
                <w:lang w:bidi="ar"/>
              </w:rPr>
              <w:t>桃江县：100%</w:t>
            </w:r>
            <w:r>
              <w:rPr>
                <w:rFonts w:ascii="Times New Roman" w:hAnsi="Times New Roman" w:eastAsia="仿宋"/>
                <w:color w:val="000000"/>
                <w:kern w:val="0"/>
                <w:sz w:val="20"/>
                <w:szCs w:val="20"/>
                <w:lang w:bidi="ar"/>
              </w:rPr>
              <w:br w:type="textWrapping"/>
            </w:r>
            <w:r>
              <w:rPr>
                <w:rFonts w:ascii="Times New Roman" w:hAnsi="Times New Roman" w:eastAsia="仿宋"/>
                <w:color w:val="000000"/>
                <w:kern w:val="0"/>
                <w:sz w:val="20"/>
                <w:szCs w:val="20"/>
                <w:lang w:bidi="ar"/>
              </w:rPr>
              <w:t>蓝山县：</w:t>
            </w:r>
            <w:r>
              <w:rPr>
                <w:rFonts w:hint="eastAsia" w:ascii="Times New Roman" w:hAnsi="Times New Roman" w:eastAsia="仿宋"/>
                <w:color w:val="000000"/>
                <w:kern w:val="0"/>
                <w:sz w:val="20"/>
                <w:szCs w:val="20"/>
                <w:lang w:bidi="ar"/>
              </w:rPr>
              <w:t>32.4</w:t>
            </w:r>
            <w:r>
              <w:rPr>
                <w:rFonts w:ascii="Times New Roman" w:hAnsi="Times New Roman" w:eastAsia="仿宋"/>
                <w:color w:val="000000"/>
                <w:kern w:val="0"/>
                <w:sz w:val="20"/>
                <w:szCs w:val="20"/>
                <w:lang w:bidi="ar"/>
              </w:rPr>
              <w:t>%</w:t>
            </w:r>
          </w:p>
        </w:tc>
        <w:tc>
          <w:tcPr>
            <w:tcW w:w="3293" w:type="dxa"/>
            <w:vMerge w:val="continue"/>
            <w:tcBorders>
              <w:left w:val="single" w:color="000000" w:sz="4" w:space="0"/>
              <w:bottom w:val="single" w:color="000000" w:sz="4" w:space="0"/>
              <w:right w:val="single" w:color="000000" w:sz="4" w:space="0"/>
            </w:tcBorders>
            <w:noWrap/>
            <w:vAlign w:val="center"/>
          </w:tcPr>
          <w:p w14:paraId="55E7B2B9">
            <w:pPr>
              <w:widowControl/>
              <w:spacing w:line="300" w:lineRule="exact"/>
              <w:rPr>
                <w:rFonts w:ascii="Times New Roman" w:hAnsi="Times New Roman" w:eastAsia="仿宋"/>
                <w:color w:val="000000"/>
                <w:sz w:val="20"/>
                <w:szCs w:val="20"/>
              </w:rPr>
            </w:pPr>
          </w:p>
        </w:tc>
      </w:tr>
      <w:tr w14:paraId="4ACEB192">
        <w:tblPrEx>
          <w:tblCellMar>
            <w:top w:w="0" w:type="dxa"/>
            <w:left w:w="108" w:type="dxa"/>
            <w:bottom w:w="0" w:type="dxa"/>
            <w:right w:w="108" w:type="dxa"/>
          </w:tblCellMar>
        </w:tblPrEx>
        <w:trPr>
          <w:trHeight w:val="1020" w:hRule="atLeast"/>
          <w:jc w:val="center"/>
        </w:trPr>
        <w:tc>
          <w:tcPr>
            <w:tcW w:w="768" w:type="dxa"/>
            <w:vMerge w:val="continue"/>
            <w:tcBorders>
              <w:left w:val="single" w:color="000000" w:sz="4" w:space="0"/>
              <w:bottom w:val="single" w:color="000000" w:sz="4" w:space="0"/>
              <w:right w:val="single" w:color="000000" w:sz="4" w:space="0"/>
            </w:tcBorders>
            <w:noWrap w:val="0"/>
            <w:textDirection w:val="tbRlV"/>
            <w:vAlign w:val="center"/>
          </w:tcPr>
          <w:p w14:paraId="7C6828D4">
            <w:pPr>
              <w:widowControl/>
              <w:spacing w:line="300" w:lineRule="exact"/>
              <w:jc w:val="center"/>
              <w:rPr>
                <w:rFonts w:ascii="Times New Roman" w:hAnsi="Times New Roman" w:eastAsia="仿宋"/>
                <w:color w:val="000000"/>
                <w:sz w:val="20"/>
                <w:szCs w:val="20"/>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46CD91">
            <w:pPr>
              <w:widowControl/>
              <w:spacing w:line="300" w:lineRule="exact"/>
              <w:jc w:val="center"/>
              <w:rPr>
                <w:rFonts w:ascii="Times New Roman" w:hAnsi="Times New Roman" w:eastAsia="仿宋"/>
                <w:color w:val="000000"/>
                <w:sz w:val="20"/>
                <w:szCs w:val="20"/>
              </w:rPr>
            </w:pPr>
          </w:p>
        </w:tc>
        <w:tc>
          <w:tcPr>
            <w:tcW w:w="128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820F6FB">
            <w:pPr>
              <w:widowControl/>
              <w:spacing w:line="300" w:lineRule="exact"/>
              <w:jc w:val="center"/>
              <w:rPr>
                <w:rFonts w:ascii="Times New Roman" w:hAnsi="Times New Roman" w:eastAsia="仿宋"/>
                <w:color w:val="000000"/>
                <w:sz w:val="20"/>
                <w:szCs w:val="20"/>
              </w:rPr>
            </w:pPr>
          </w:p>
        </w:tc>
        <w:tc>
          <w:tcPr>
            <w:tcW w:w="3657" w:type="dxa"/>
            <w:gridSpan w:val="2"/>
            <w:tcBorders>
              <w:top w:val="single" w:color="000000" w:sz="4" w:space="0"/>
              <w:left w:val="single" w:color="000000" w:sz="4" w:space="0"/>
              <w:bottom w:val="single" w:color="000000" w:sz="4" w:space="0"/>
              <w:right w:val="single" w:color="000000" w:sz="4" w:space="0"/>
            </w:tcBorders>
            <w:noWrap w:val="0"/>
            <w:vAlign w:val="center"/>
          </w:tcPr>
          <w:p w14:paraId="484136D2">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年度新技术新模式任务目标完成率</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710DAB9F">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100%</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49B2FE8A">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双峰县：100%</w:t>
            </w:r>
            <w:r>
              <w:rPr>
                <w:rFonts w:ascii="Times New Roman" w:hAnsi="Times New Roman" w:eastAsia="仿宋"/>
                <w:color w:val="000000"/>
                <w:kern w:val="0"/>
                <w:sz w:val="20"/>
                <w:szCs w:val="20"/>
                <w:lang w:bidi="ar"/>
              </w:rPr>
              <w:br w:type="textWrapping"/>
            </w:r>
            <w:r>
              <w:rPr>
                <w:rFonts w:ascii="Times New Roman" w:hAnsi="Times New Roman" w:eastAsia="仿宋"/>
                <w:color w:val="000000"/>
                <w:kern w:val="0"/>
                <w:sz w:val="20"/>
                <w:szCs w:val="20"/>
                <w:lang w:bidi="ar"/>
              </w:rPr>
              <w:t>桃江县：100%</w:t>
            </w:r>
            <w:r>
              <w:rPr>
                <w:rFonts w:ascii="Times New Roman" w:hAnsi="Times New Roman" w:eastAsia="仿宋"/>
                <w:color w:val="000000"/>
                <w:kern w:val="0"/>
                <w:sz w:val="20"/>
                <w:szCs w:val="20"/>
                <w:lang w:bidi="ar"/>
              </w:rPr>
              <w:br w:type="textWrapping"/>
            </w:r>
            <w:r>
              <w:rPr>
                <w:rFonts w:ascii="Times New Roman" w:hAnsi="Times New Roman" w:eastAsia="仿宋"/>
                <w:color w:val="000000"/>
                <w:kern w:val="0"/>
                <w:sz w:val="20"/>
                <w:szCs w:val="20"/>
                <w:lang w:bidi="ar"/>
              </w:rPr>
              <w:t>蓝山县：100%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341560">
            <w:pPr>
              <w:widowControl/>
              <w:spacing w:line="300" w:lineRule="exact"/>
              <w:rPr>
                <w:rFonts w:ascii="Times New Roman" w:hAnsi="Times New Roman" w:eastAsia="仿宋"/>
                <w:color w:val="000000"/>
                <w:sz w:val="20"/>
                <w:szCs w:val="20"/>
              </w:rPr>
            </w:pPr>
          </w:p>
        </w:tc>
      </w:tr>
      <w:tr w14:paraId="39D2654A">
        <w:tblPrEx>
          <w:tblCellMar>
            <w:top w:w="0" w:type="dxa"/>
            <w:left w:w="108" w:type="dxa"/>
            <w:bottom w:w="0" w:type="dxa"/>
            <w:right w:w="108" w:type="dxa"/>
          </w:tblCellMar>
        </w:tblPrEx>
        <w:trPr>
          <w:trHeight w:val="480" w:hRule="atLeast"/>
          <w:jc w:val="center"/>
        </w:trPr>
        <w:tc>
          <w:tcPr>
            <w:tcW w:w="768" w:type="dxa"/>
            <w:vMerge w:val="restart"/>
            <w:tcBorders>
              <w:top w:val="single" w:color="000000" w:sz="4" w:space="0"/>
              <w:left w:val="single" w:color="000000" w:sz="4" w:space="0"/>
              <w:right w:val="single" w:color="000000" w:sz="4" w:space="0"/>
            </w:tcBorders>
            <w:noWrap w:val="0"/>
            <w:textDirection w:val="tbRlV"/>
            <w:vAlign w:val="center"/>
          </w:tcPr>
          <w:p w14:paraId="4821D63C">
            <w:pPr>
              <w:widowControl/>
              <w:spacing w:line="300" w:lineRule="exact"/>
              <w:jc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绩效指标</w:t>
            </w:r>
          </w:p>
        </w:tc>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2FC7592">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效益指标</w:t>
            </w:r>
          </w:p>
        </w:tc>
        <w:tc>
          <w:tcPr>
            <w:tcW w:w="1283" w:type="dxa"/>
            <w:gridSpan w:val="2"/>
            <w:tcBorders>
              <w:top w:val="single" w:color="000000" w:sz="4" w:space="0"/>
              <w:left w:val="single" w:color="000000" w:sz="4" w:space="0"/>
              <w:bottom w:val="single" w:color="000000" w:sz="4" w:space="0"/>
              <w:right w:val="single" w:color="000000" w:sz="4" w:space="0"/>
            </w:tcBorders>
            <w:noWrap w:val="0"/>
            <w:vAlign w:val="center"/>
          </w:tcPr>
          <w:p w14:paraId="3C3F1FB1">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经济效益</w:t>
            </w:r>
            <w:r>
              <w:rPr>
                <w:rFonts w:ascii="Times New Roman" w:hAnsi="Times New Roman" w:eastAsia="仿宋"/>
                <w:color w:val="000000"/>
                <w:kern w:val="0"/>
                <w:sz w:val="20"/>
                <w:szCs w:val="20"/>
                <w:lang w:bidi="ar"/>
              </w:rPr>
              <w:br w:type="textWrapping"/>
            </w:r>
            <w:r>
              <w:rPr>
                <w:rFonts w:ascii="Times New Roman" w:hAnsi="Times New Roman" w:eastAsia="仿宋"/>
                <w:color w:val="000000"/>
                <w:kern w:val="0"/>
                <w:sz w:val="20"/>
                <w:szCs w:val="20"/>
                <w:lang w:bidi="ar"/>
              </w:rPr>
              <w:t>指标</w:t>
            </w:r>
          </w:p>
        </w:tc>
        <w:tc>
          <w:tcPr>
            <w:tcW w:w="3657" w:type="dxa"/>
            <w:gridSpan w:val="2"/>
            <w:tcBorders>
              <w:top w:val="single" w:color="000000" w:sz="4" w:space="0"/>
              <w:left w:val="single" w:color="000000" w:sz="4" w:space="0"/>
              <w:bottom w:val="single" w:color="000000" w:sz="4" w:space="0"/>
              <w:right w:val="single" w:color="000000" w:sz="4" w:space="0"/>
            </w:tcBorders>
            <w:noWrap w:val="0"/>
            <w:vAlign w:val="center"/>
          </w:tcPr>
          <w:p w14:paraId="68C2A0EC">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新能源汽车渗透率</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4921D3D0">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明显提升</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7AD62C8B">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明显提升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910377">
            <w:pPr>
              <w:widowControl/>
              <w:spacing w:line="300" w:lineRule="exact"/>
              <w:rPr>
                <w:rFonts w:ascii="Times New Roman" w:hAnsi="Times New Roman" w:eastAsia="仿宋"/>
                <w:color w:val="000000"/>
                <w:sz w:val="20"/>
                <w:szCs w:val="20"/>
              </w:rPr>
            </w:pPr>
          </w:p>
        </w:tc>
      </w:tr>
      <w:tr w14:paraId="1A8D4DB8">
        <w:tblPrEx>
          <w:tblCellMar>
            <w:top w:w="0" w:type="dxa"/>
            <w:left w:w="108" w:type="dxa"/>
            <w:bottom w:w="0" w:type="dxa"/>
            <w:right w:w="108" w:type="dxa"/>
          </w:tblCellMar>
        </w:tblPrEx>
        <w:trPr>
          <w:trHeight w:val="480" w:hRule="atLeast"/>
          <w:jc w:val="center"/>
        </w:trPr>
        <w:tc>
          <w:tcPr>
            <w:tcW w:w="768" w:type="dxa"/>
            <w:vMerge w:val="continue"/>
            <w:tcBorders>
              <w:left w:val="single" w:color="000000" w:sz="4" w:space="0"/>
              <w:right w:val="single" w:color="000000" w:sz="4" w:space="0"/>
            </w:tcBorders>
            <w:noWrap w:val="0"/>
            <w:textDirection w:val="tbRlV"/>
            <w:vAlign w:val="center"/>
          </w:tcPr>
          <w:p w14:paraId="0056BEED">
            <w:pPr>
              <w:widowControl/>
              <w:spacing w:line="300" w:lineRule="exact"/>
              <w:jc w:val="center"/>
              <w:rPr>
                <w:rFonts w:ascii="Times New Roman" w:hAnsi="Times New Roman" w:eastAsia="仿宋"/>
                <w:color w:val="000000"/>
                <w:sz w:val="20"/>
                <w:szCs w:val="20"/>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507AB1">
            <w:pPr>
              <w:widowControl/>
              <w:spacing w:line="300" w:lineRule="exact"/>
              <w:jc w:val="center"/>
              <w:rPr>
                <w:rFonts w:ascii="Times New Roman" w:hAnsi="Times New Roman" w:eastAsia="仿宋"/>
                <w:color w:val="000000"/>
                <w:sz w:val="20"/>
                <w:szCs w:val="20"/>
              </w:rPr>
            </w:pPr>
          </w:p>
        </w:tc>
        <w:tc>
          <w:tcPr>
            <w:tcW w:w="1283" w:type="dxa"/>
            <w:gridSpan w:val="2"/>
            <w:tcBorders>
              <w:top w:val="single" w:color="000000" w:sz="4" w:space="0"/>
              <w:left w:val="single" w:color="000000" w:sz="4" w:space="0"/>
              <w:bottom w:val="single" w:color="000000" w:sz="4" w:space="0"/>
              <w:right w:val="single" w:color="000000" w:sz="4" w:space="0"/>
            </w:tcBorders>
            <w:noWrap w:val="0"/>
            <w:vAlign w:val="center"/>
          </w:tcPr>
          <w:p w14:paraId="069948DE">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社会效益</w:t>
            </w:r>
            <w:r>
              <w:rPr>
                <w:rFonts w:ascii="Times New Roman" w:hAnsi="Times New Roman" w:eastAsia="仿宋"/>
                <w:color w:val="000000"/>
                <w:kern w:val="0"/>
                <w:sz w:val="20"/>
                <w:szCs w:val="20"/>
                <w:lang w:bidi="ar"/>
              </w:rPr>
              <w:br w:type="textWrapping"/>
            </w:r>
            <w:r>
              <w:rPr>
                <w:rFonts w:ascii="Times New Roman" w:hAnsi="Times New Roman" w:eastAsia="仿宋"/>
                <w:color w:val="000000"/>
                <w:kern w:val="0"/>
                <w:sz w:val="20"/>
                <w:szCs w:val="20"/>
                <w:lang w:bidi="ar"/>
              </w:rPr>
              <w:t>指标</w:t>
            </w:r>
          </w:p>
        </w:tc>
        <w:tc>
          <w:tcPr>
            <w:tcW w:w="3657" w:type="dxa"/>
            <w:gridSpan w:val="2"/>
            <w:tcBorders>
              <w:top w:val="single" w:color="000000" w:sz="4" w:space="0"/>
              <w:left w:val="single" w:color="000000" w:sz="4" w:space="0"/>
              <w:bottom w:val="single" w:color="000000" w:sz="4" w:space="0"/>
              <w:right w:val="single" w:color="000000" w:sz="4" w:space="0"/>
            </w:tcBorders>
            <w:noWrap w:val="0"/>
            <w:vAlign w:val="center"/>
          </w:tcPr>
          <w:p w14:paraId="433DA8B3">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方便县域新能源汽车充电用户数</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4BB4B3C">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显著提升</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36D4F1A8">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显著提升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076A0A">
            <w:pPr>
              <w:widowControl/>
              <w:spacing w:line="300" w:lineRule="exact"/>
              <w:rPr>
                <w:rFonts w:ascii="Times New Roman" w:hAnsi="Times New Roman" w:eastAsia="仿宋"/>
                <w:color w:val="000000"/>
                <w:sz w:val="20"/>
                <w:szCs w:val="20"/>
              </w:rPr>
            </w:pPr>
          </w:p>
        </w:tc>
      </w:tr>
      <w:tr w14:paraId="138F08C1">
        <w:tblPrEx>
          <w:tblCellMar>
            <w:top w:w="0" w:type="dxa"/>
            <w:left w:w="108" w:type="dxa"/>
            <w:bottom w:w="0" w:type="dxa"/>
            <w:right w:w="108" w:type="dxa"/>
          </w:tblCellMar>
        </w:tblPrEx>
        <w:trPr>
          <w:trHeight w:val="480" w:hRule="atLeast"/>
          <w:jc w:val="center"/>
        </w:trPr>
        <w:tc>
          <w:tcPr>
            <w:tcW w:w="768" w:type="dxa"/>
            <w:vMerge w:val="continue"/>
            <w:tcBorders>
              <w:left w:val="single" w:color="000000" w:sz="4" w:space="0"/>
              <w:right w:val="single" w:color="000000" w:sz="4" w:space="0"/>
            </w:tcBorders>
            <w:noWrap w:val="0"/>
            <w:textDirection w:val="tbRlV"/>
            <w:vAlign w:val="center"/>
          </w:tcPr>
          <w:p w14:paraId="65D3F6E2">
            <w:pPr>
              <w:widowControl/>
              <w:spacing w:line="300" w:lineRule="exact"/>
              <w:jc w:val="center"/>
              <w:rPr>
                <w:rFonts w:ascii="Times New Roman" w:hAnsi="Times New Roman" w:eastAsia="仿宋"/>
                <w:color w:val="000000"/>
                <w:sz w:val="20"/>
                <w:szCs w:val="20"/>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F615D7">
            <w:pPr>
              <w:widowControl/>
              <w:spacing w:line="300" w:lineRule="exact"/>
              <w:jc w:val="center"/>
              <w:rPr>
                <w:rFonts w:ascii="Times New Roman" w:hAnsi="Times New Roman" w:eastAsia="仿宋"/>
                <w:color w:val="000000"/>
                <w:sz w:val="20"/>
                <w:szCs w:val="20"/>
              </w:rPr>
            </w:pPr>
          </w:p>
        </w:tc>
        <w:tc>
          <w:tcPr>
            <w:tcW w:w="1283" w:type="dxa"/>
            <w:gridSpan w:val="2"/>
            <w:tcBorders>
              <w:top w:val="single" w:color="000000" w:sz="4" w:space="0"/>
              <w:left w:val="single" w:color="000000" w:sz="4" w:space="0"/>
              <w:bottom w:val="single" w:color="000000" w:sz="4" w:space="0"/>
              <w:right w:val="single" w:color="000000" w:sz="4" w:space="0"/>
            </w:tcBorders>
            <w:noWrap w:val="0"/>
            <w:vAlign w:val="center"/>
          </w:tcPr>
          <w:p w14:paraId="626C5607">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生态效益</w:t>
            </w:r>
            <w:r>
              <w:rPr>
                <w:rFonts w:ascii="Times New Roman" w:hAnsi="Times New Roman" w:eastAsia="仿宋"/>
                <w:color w:val="000000"/>
                <w:kern w:val="0"/>
                <w:sz w:val="20"/>
                <w:szCs w:val="20"/>
                <w:lang w:bidi="ar"/>
              </w:rPr>
              <w:br w:type="textWrapping"/>
            </w:r>
            <w:r>
              <w:rPr>
                <w:rFonts w:ascii="Times New Roman" w:hAnsi="Times New Roman" w:eastAsia="仿宋"/>
                <w:color w:val="000000"/>
                <w:kern w:val="0"/>
                <w:sz w:val="20"/>
                <w:szCs w:val="20"/>
                <w:lang w:bidi="ar"/>
              </w:rPr>
              <w:t>指标</w:t>
            </w:r>
          </w:p>
        </w:tc>
        <w:tc>
          <w:tcPr>
            <w:tcW w:w="3657" w:type="dxa"/>
            <w:gridSpan w:val="2"/>
            <w:tcBorders>
              <w:top w:val="single" w:color="000000" w:sz="4" w:space="0"/>
              <w:left w:val="single" w:color="000000" w:sz="4" w:space="0"/>
              <w:bottom w:val="single" w:color="000000" w:sz="4" w:space="0"/>
              <w:right w:val="single" w:color="000000" w:sz="4" w:space="0"/>
            </w:tcBorders>
            <w:noWrap w:val="0"/>
            <w:vAlign w:val="center"/>
          </w:tcPr>
          <w:p w14:paraId="1522A85C">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节能减排效果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88630A2">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有所提升</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1A41B0A3">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有所提升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755D60">
            <w:pPr>
              <w:widowControl/>
              <w:spacing w:line="300" w:lineRule="exact"/>
              <w:rPr>
                <w:rFonts w:ascii="Times New Roman" w:hAnsi="Times New Roman" w:eastAsia="仿宋"/>
                <w:color w:val="000000"/>
                <w:sz w:val="20"/>
                <w:szCs w:val="20"/>
              </w:rPr>
            </w:pPr>
          </w:p>
        </w:tc>
      </w:tr>
      <w:tr w14:paraId="548EAE80">
        <w:tblPrEx>
          <w:tblCellMar>
            <w:top w:w="0" w:type="dxa"/>
            <w:left w:w="108" w:type="dxa"/>
            <w:bottom w:w="0" w:type="dxa"/>
            <w:right w:w="108" w:type="dxa"/>
          </w:tblCellMar>
        </w:tblPrEx>
        <w:trPr>
          <w:trHeight w:val="720" w:hRule="atLeast"/>
          <w:jc w:val="center"/>
        </w:trPr>
        <w:tc>
          <w:tcPr>
            <w:tcW w:w="768" w:type="dxa"/>
            <w:vMerge w:val="continue"/>
            <w:tcBorders>
              <w:left w:val="single" w:color="000000" w:sz="4" w:space="0"/>
              <w:right w:val="single" w:color="000000" w:sz="4" w:space="0"/>
            </w:tcBorders>
            <w:noWrap w:val="0"/>
            <w:textDirection w:val="tbRlV"/>
            <w:vAlign w:val="center"/>
          </w:tcPr>
          <w:p w14:paraId="4B647BE1">
            <w:pPr>
              <w:widowControl/>
              <w:spacing w:line="300" w:lineRule="exact"/>
              <w:jc w:val="center"/>
              <w:rPr>
                <w:rFonts w:ascii="Times New Roman" w:hAnsi="Times New Roman" w:eastAsia="仿宋"/>
                <w:color w:val="000000"/>
                <w:sz w:val="20"/>
                <w:szCs w:val="20"/>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E69DC9">
            <w:pPr>
              <w:widowControl/>
              <w:spacing w:line="300" w:lineRule="exact"/>
              <w:jc w:val="center"/>
              <w:rPr>
                <w:rFonts w:ascii="Times New Roman" w:hAnsi="Times New Roman" w:eastAsia="仿宋"/>
                <w:color w:val="000000"/>
                <w:sz w:val="20"/>
                <w:szCs w:val="20"/>
              </w:rPr>
            </w:pPr>
          </w:p>
        </w:tc>
        <w:tc>
          <w:tcPr>
            <w:tcW w:w="1283" w:type="dxa"/>
            <w:gridSpan w:val="2"/>
            <w:tcBorders>
              <w:top w:val="single" w:color="000000" w:sz="4" w:space="0"/>
              <w:left w:val="single" w:color="000000" w:sz="4" w:space="0"/>
              <w:bottom w:val="single" w:color="000000" w:sz="4" w:space="0"/>
              <w:right w:val="single" w:color="000000" w:sz="4" w:space="0"/>
            </w:tcBorders>
            <w:noWrap w:val="0"/>
            <w:vAlign w:val="center"/>
          </w:tcPr>
          <w:p w14:paraId="4DBAC6E9">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可持续影响指标</w:t>
            </w:r>
          </w:p>
        </w:tc>
        <w:tc>
          <w:tcPr>
            <w:tcW w:w="3657" w:type="dxa"/>
            <w:gridSpan w:val="2"/>
            <w:tcBorders>
              <w:top w:val="single" w:color="000000" w:sz="4" w:space="0"/>
              <w:left w:val="single" w:color="000000" w:sz="4" w:space="0"/>
              <w:bottom w:val="single" w:color="000000" w:sz="4" w:space="0"/>
              <w:right w:val="single" w:color="000000" w:sz="4" w:space="0"/>
            </w:tcBorders>
            <w:noWrap w:val="0"/>
            <w:vAlign w:val="center"/>
          </w:tcPr>
          <w:p w14:paraId="1F93D131">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试点期间新建充换电设施可持续运营年限</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37352E05">
            <w:pPr>
              <w:widowControl/>
              <w:spacing w:line="300" w:lineRule="exact"/>
              <w:jc w:val="center"/>
              <w:textAlignment w:val="center"/>
              <w:rPr>
                <w:rFonts w:ascii="Times New Roman" w:hAnsi="Times New Roman" w:eastAsia="仿宋"/>
                <w:color w:val="000000"/>
                <w:sz w:val="20"/>
                <w:szCs w:val="20"/>
              </w:rPr>
            </w:pPr>
            <w:r>
              <w:rPr>
                <w:rStyle w:val="5"/>
                <w:rFonts w:hint="default" w:ascii="Times New Roman" w:eastAsia="仿宋" w:cs="Times New Roman"/>
                <w:lang w:bidi="ar"/>
              </w:rPr>
              <w:t>＞</w:t>
            </w:r>
            <w:r>
              <w:rPr>
                <w:rStyle w:val="6"/>
                <w:rFonts w:eastAsia="仿宋"/>
                <w:lang w:bidi="ar"/>
              </w:rPr>
              <w:t>6</w:t>
            </w:r>
            <w:r>
              <w:rPr>
                <w:rStyle w:val="5"/>
                <w:rFonts w:hint="default" w:ascii="Times New Roman" w:eastAsia="仿宋" w:cs="Times New Roman"/>
                <w:lang w:bidi="ar"/>
              </w:rPr>
              <w:t>年</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3C5DDF28">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双峰县：≥8年</w:t>
            </w:r>
            <w:r>
              <w:rPr>
                <w:rFonts w:ascii="Times New Roman" w:hAnsi="Times New Roman" w:eastAsia="仿宋"/>
                <w:color w:val="000000"/>
                <w:kern w:val="0"/>
                <w:sz w:val="20"/>
                <w:szCs w:val="20"/>
                <w:lang w:bidi="ar"/>
              </w:rPr>
              <w:br w:type="textWrapping"/>
            </w:r>
            <w:r>
              <w:rPr>
                <w:rFonts w:ascii="Times New Roman" w:hAnsi="Times New Roman" w:eastAsia="仿宋"/>
                <w:color w:val="000000"/>
                <w:kern w:val="0"/>
                <w:sz w:val="20"/>
                <w:szCs w:val="20"/>
                <w:lang w:bidi="ar"/>
              </w:rPr>
              <w:t>桃江县：10年</w:t>
            </w:r>
            <w:r>
              <w:rPr>
                <w:rFonts w:ascii="Times New Roman" w:hAnsi="Times New Roman" w:eastAsia="仿宋"/>
                <w:color w:val="000000"/>
                <w:kern w:val="0"/>
                <w:sz w:val="20"/>
                <w:szCs w:val="20"/>
                <w:lang w:bidi="ar"/>
              </w:rPr>
              <w:br w:type="textWrapping"/>
            </w:r>
            <w:r>
              <w:rPr>
                <w:rFonts w:ascii="Times New Roman" w:hAnsi="Times New Roman" w:eastAsia="仿宋"/>
                <w:color w:val="000000"/>
                <w:kern w:val="0"/>
                <w:sz w:val="20"/>
                <w:szCs w:val="20"/>
                <w:lang w:bidi="ar"/>
              </w:rPr>
              <w:t>蓝山县：10年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7D0A76">
            <w:pPr>
              <w:widowControl/>
              <w:spacing w:line="300" w:lineRule="exact"/>
              <w:rPr>
                <w:rFonts w:ascii="Times New Roman" w:hAnsi="Times New Roman" w:eastAsia="仿宋"/>
                <w:color w:val="000000"/>
                <w:sz w:val="20"/>
                <w:szCs w:val="20"/>
              </w:rPr>
            </w:pPr>
          </w:p>
        </w:tc>
      </w:tr>
      <w:tr w14:paraId="6B82AC52">
        <w:tblPrEx>
          <w:tblCellMar>
            <w:top w:w="0" w:type="dxa"/>
            <w:left w:w="108" w:type="dxa"/>
            <w:bottom w:w="0" w:type="dxa"/>
            <w:right w:w="108" w:type="dxa"/>
          </w:tblCellMar>
        </w:tblPrEx>
        <w:trPr>
          <w:trHeight w:val="480" w:hRule="atLeast"/>
          <w:jc w:val="center"/>
        </w:trPr>
        <w:tc>
          <w:tcPr>
            <w:tcW w:w="768" w:type="dxa"/>
            <w:vMerge w:val="continue"/>
            <w:tcBorders>
              <w:left w:val="single" w:color="000000" w:sz="4" w:space="0"/>
              <w:bottom w:val="single" w:color="000000" w:sz="4" w:space="0"/>
              <w:right w:val="single" w:color="000000" w:sz="4" w:space="0"/>
            </w:tcBorders>
            <w:noWrap w:val="0"/>
            <w:textDirection w:val="tbRlV"/>
            <w:vAlign w:val="center"/>
          </w:tcPr>
          <w:p w14:paraId="7FC4516F">
            <w:pPr>
              <w:widowControl/>
              <w:spacing w:line="300" w:lineRule="exact"/>
              <w:jc w:val="center"/>
              <w:rPr>
                <w:rFonts w:ascii="Times New Roman" w:hAnsi="Times New Roman" w:eastAsia="仿宋"/>
                <w:color w:val="000000"/>
                <w:sz w:val="20"/>
                <w:szCs w:val="20"/>
              </w:rPr>
            </w:pP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25D2700C">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满意度指标</w:t>
            </w:r>
          </w:p>
        </w:tc>
        <w:tc>
          <w:tcPr>
            <w:tcW w:w="1283" w:type="dxa"/>
            <w:gridSpan w:val="2"/>
            <w:tcBorders>
              <w:top w:val="single" w:color="000000" w:sz="4" w:space="0"/>
              <w:left w:val="single" w:color="000000" w:sz="4" w:space="0"/>
              <w:bottom w:val="single" w:color="000000" w:sz="4" w:space="0"/>
              <w:right w:val="single" w:color="000000" w:sz="4" w:space="0"/>
            </w:tcBorders>
            <w:noWrap w:val="0"/>
            <w:vAlign w:val="center"/>
          </w:tcPr>
          <w:p w14:paraId="0CBF0673">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服务对象</w:t>
            </w:r>
            <w:r>
              <w:rPr>
                <w:rFonts w:ascii="Times New Roman" w:hAnsi="Times New Roman" w:eastAsia="仿宋"/>
                <w:color w:val="000000"/>
                <w:kern w:val="0"/>
                <w:sz w:val="20"/>
                <w:szCs w:val="20"/>
                <w:lang w:bidi="ar"/>
              </w:rPr>
              <w:br w:type="textWrapping"/>
            </w:r>
            <w:r>
              <w:rPr>
                <w:rFonts w:ascii="Times New Roman" w:hAnsi="Times New Roman" w:eastAsia="仿宋"/>
                <w:color w:val="000000"/>
                <w:kern w:val="0"/>
                <w:sz w:val="20"/>
                <w:szCs w:val="20"/>
                <w:lang w:bidi="ar"/>
              </w:rPr>
              <w:t>满意度指标</w:t>
            </w:r>
          </w:p>
        </w:tc>
        <w:tc>
          <w:tcPr>
            <w:tcW w:w="3657" w:type="dxa"/>
            <w:gridSpan w:val="2"/>
            <w:tcBorders>
              <w:top w:val="single" w:color="000000" w:sz="4" w:space="0"/>
              <w:left w:val="single" w:color="000000" w:sz="4" w:space="0"/>
              <w:bottom w:val="single" w:color="000000" w:sz="4" w:space="0"/>
              <w:right w:val="single" w:color="000000" w:sz="4" w:space="0"/>
            </w:tcBorders>
            <w:noWrap w:val="0"/>
            <w:vAlign w:val="center"/>
          </w:tcPr>
          <w:p w14:paraId="369F1769">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受益群众满意度</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14:paraId="0DD83AAA">
            <w:pPr>
              <w:widowControl/>
              <w:spacing w:line="300" w:lineRule="exact"/>
              <w:jc w:val="center"/>
              <w:textAlignment w:val="center"/>
              <w:rPr>
                <w:rFonts w:ascii="Times New Roman" w:hAnsi="Times New Roman" w:eastAsia="仿宋"/>
                <w:color w:val="000000"/>
                <w:sz w:val="20"/>
                <w:szCs w:val="20"/>
              </w:rPr>
            </w:pPr>
            <w:r>
              <w:rPr>
                <w:rStyle w:val="5"/>
                <w:rFonts w:hint="default" w:ascii="Times New Roman" w:eastAsia="仿宋" w:cs="Times New Roman"/>
                <w:lang w:bidi="ar"/>
              </w:rPr>
              <w:t>＞</w:t>
            </w:r>
            <w:r>
              <w:rPr>
                <w:rStyle w:val="6"/>
                <w:rFonts w:eastAsia="仿宋"/>
                <w:lang w:bidi="ar"/>
              </w:rPr>
              <w:t>90%</w:t>
            </w:r>
          </w:p>
        </w:tc>
        <w:tc>
          <w:tcPr>
            <w:tcW w:w="3987" w:type="dxa"/>
            <w:tcBorders>
              <w:top w:val="single" w:color="000000" w:sz="4" w:space="0"/>
              <w:left w:val="single" w:color="000000" w:sz="4" w:space="0"/>
              <w:bottom w:val="single" w:color="000000" w:sz="4" w:space="0"/>
              <w:right w:val="single" w:color="000000" w:sz="4" w:space="0"/>
            </w:tcBorders>
            <w:noWrap w:val="0"/>
            <w:vAlign w:val="center"/>
          </w:tcPr>
          <w:p w14:paraId="36DC922F">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92%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A34B8E">
            <w:pPr>
              <w:widowControl/>
              <w:spacing w:line="300" w:lineRule="exact"/>
              <w:rPr>
                <w:rFonts w:ascii="Times New Roman" w:hAnsi="Times New Roman" w:eastAsia="仿宋"/>
                <w:color w:val="000000"/>
                <w:sz w:val="20"/>
                <w:szCs w:val="20"/>
              </w:rPr>
            </w:pPr>
          </w:p>
        </w:tc>
      </w:tr>
      <w:tr w14:paraId="7B0FB4D6">
        <w:tblPrEx>
          <w:tblCellMar>
            <w:top w:w="0" w:type="dxa"/>
            <w:left w:w="108" w:type="dxa"/>
            <w:bottom w:w="0" w:type="dxa"/>
            <w:right w:w="108" w:type="dxa"/>
          </w:tblCellMar>
        </w:tblPrEx>
        <w:trPr>
          <w:trHeight w:val="500" w:hRule="atLeast"/>
          <w:jc w:val="center"/>
        </w:trPr>
        <w:tc>
          <w:tcPr>
            <w:tcW w:w="768" w:type="dxa"/>
            <w:tcBorders>
              <w:top w:val="single" w:color="000000" w:sz="4" w:space="0"/>
              <w:left w:val="single" w:color="000000" w:sz="4" w:space="0"/>
              <w:bottom w:val="single" w:color="000000" w:sz="4" w:space="0"/>
              <w:right w:val="single" w:color="000000" w:sz="4" w:space="0"/>
            </w:tcBorders>
            <w:noWrap w:val="0"/>
            <w:vAlign w:val="center"/>
          </w:tcPr>
          <w:p w14:paraId="1C2CDE43">
            <w:pPr>
              <w:widowControl/>
              <w:spacing w:line="300" w:lineRule="exact"/>
              <w:jc w:val="center"/>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说明</w:t>
            </w:r>
          </w:p>
        </w:tc>
        <w:tc>
          <w:tcPr>
            <w:tcW w:w="14822" w:type="dxa"/>
            <w:gridSpan w:val="8"/>
            <w:tcBorders>
              <w:top w:val="single" w:color="000000" w:sz="4" w:space="0"/>
              <w:left w:val="single" w:color="000000" w:sz="4" w:space="0"/>
              <w:bottom w:val="single" w:color="000000" w:sz="4" w:space="0"/>
              <w:right w:val="single" w:color="000000" w:sz="4" w:space="0"/>
            </w:tcBorders>
            <w:noWrap w:val="0"/>
            <w:vAlign w:val="center"/>
          </w:tcPr>
          <w:p w14:paraId="1FA01B3C">
            <w:pPr>
              <w:widowControl/>
              <w:spacing w:line="300" w:lineRule="exact"/>
              <w:jc w:val="left"/>
              <w:textAlignment w:val="center"/>
              <w:rPr>
                <w:rFonts w:ascii="Times New Roman" w:hAnsi="Times New Roman" w:eastAsia="仿宋"/>
                <w:color w:val="000000"/>
                <w:sz w:val="20"/>
                <w:szCs w:val="20"/>
              </w:rPr>
            </w:pPr>
            <w:r>
              <w:rPr>
                <w:rFonts w:ascii="Times New Roman" w:hAnsi="Times New Roman" w:eastAsia="仿宋"/>
                <w:color w:val="000000"/>
                <w:kern w:val="0"/>
                <w:sz w:val="20"/>
                <w:szCs w:val="20"/>
                <w:lang w:bidi="ar"/>
              </w:rPr>
              <w:t>请在此处简要说明中央巡视、各级审计和财政监督中发现的问题及其所涉及的金额，如没有请填无。</w:t>
            </w:r>
          </w:p>
        </w:tc>
      </w:tr>
      <w:tr w14:paraId="66C258AA">
        <w:tblPrEx>
          <w:tblCellMar>
            <w:top w:w="0" w:type="dxa"/>
            <w:left w:w="108" w:type="dxa"/>
            <w:bottom w:w="0" w:type="dxa"/>
            <w:right w:w="108" w:type="dxa"/>
          </w:tblCellMar>
        </w:tblPrEx>
        <w:trPr>
          <w:trHeight w:val="240" w:hRule="atLeast"/>
          <w:jc w:val="center"/>
        </w:trPr>
        <w:tc>
          <w:tcPr>
            <w:tcW w:w="15590" w:type="dxa"/>
            <w:gridSpan w:val="9"/>
            <w:tcBorders>
              <w:top w:val="nil"/>
              <w:left w:val="nil"/>
              <w:bottom w:val="nil"/>
              <w:right w:val="nil"/>
            </w:tcBorders>
            <w:noWrap w:val="0"/>
            <w:vAlign w:val="bottom"/>
          </w:tcPr>
          <w:p w14:paraId="1F91C234">
            <w:pPr>
              <w:widowControl/>
              <w:spacing w:line="300" w:lineRule="exact"/>
              <w:jc w:val="left"/>
              <w:textAlignment w:val="bottom"/>
              <w:rPr>
                <w:rFonts w:ascii="Times New Roman" w:hAnsi="Times New Roman" w:eastAsia="仿宋"/>
                <w:color w:val="000000"/>
                <w:sz w:val="20"/>
                <w:szCs w:val="20"/>
              </w:rPr>
            </w:pPr>
            <w:r>
              <w:rPr>
                <w:rFonts w:ascii="Times New Roman" w:hAnsi="Times New Roman" w:eastAsia="仿宋"/>
                <w:color w:val="000000"/>
                <w:kern w:val="0"/>
                <w:sz w:val="20"/>
                <w:szCs w:val="20"/>
                <w:lang w:bidi="ar"/>
              </w:rPr>
              <w:t>注：1.资金使用单位按项目绩效目标填报，主管部门汇总时按区域绩效目标填报。</w:t>
            </w:r>
          </w:p>
        </w:tc>
      </w:tr>
      <w:tr w14:paraId="3F1C5A53">
        <w:tblPrEx>
          <w:tblCellMar>
            <w:top w:w="0" w:type="dxa"/>
            <w:left w:w="108" w:type="dxa"/>
            <w:bottom w:w="0" w:type="dxa"/>
            <w:right w:w="108" w:type="dxa"/>
          </w:tblCellMar>
        </w:tblPrEx>
        <w:trPr>
          <w:trHeight w:val="240" w:hRule="atLeast"/>
          <w:jc w:val="center"/>
        </w:trPr>
        <w:tc>
          <w:tcPr>
            <w:tcW w:w="15590" w:type="dxa"/>
            <w:gridSpan w:val="9"/>
            <w:tcBorders>
              <w:top w:val="nil"/>
              <w:left w:val="nil"/>
              <w:bottom w:val="nil"/>
              <w:right w:val="nil"/>
            </w:tcBorders>
            <w:noWrap w:val="0"/>
            <w:vAlign w:val="bottom"/>
          </w:tcPr>
          <w:p w14:paraId="33B34F3C">
            <w:pPr>
              <w:widowControl/>
              <w:spacing w:line="300" w:lineRule="exact"/>
              <w:jc w:val="left"/>
              <w:textAlignment w:val="bottom"/>
              <w:rPr>
                <w:rFonts w:ascii="Times New Roman" w:hAnsi="Times New Roman" w:eastAsia="仿宋"/>
                <w:color w:val="000000"/>
                <w:sz w:val="20"/>
                <w:szCs w:val="20"/>
              </w:rPr>
            </w:pPr>
            <w:r>
              <w:rPr>
                <w:rFonts w:ascii="Times New Roman" w:hAnsi="Times New Roman" w:eastAsia="仿宋"/>
                <w:color w:val="000000"/>
                <w:kern w:val="0"/>
                <w:sz w:val="20"/>
                <w:szCs w:val="20"/>
                <w:lang w:bidi="ar"/>
              </w:rPr>
              <w:t xml:space="preserve">    2.其他资金包括与中央财政资金、地方财政资金共同投入到同一项目的自有资金、社会资金，以及以前年度的结转结余资金等。</w:t>
            </w:r>
          </w:p>
        </w:tc>
      </w:tr>
      <w:tr w14:paraId="634B3637">
        <w:tblPrEx>
          <w:tblCellMar>
            <w:top w:w="0" w:type="dxa"/>
            <w:left w:w="108" w:type="dxa"/>
            <w:bottom w:w="0" w:type="dxa"/>
            <w:right w:w="108" w:type="dxa"/>
          </w:tblCellMar>
        </w:tblPrEx>
        <w:trPr>
          <w:trHeight w:val="240" w:hRule="atLeast"/>
          <w:jc w:val="center"/>
        </w:trPr>
        <w:tc>
          <w:tcPr>
            <w:tcW w:w="15590" w:type="dxa"/>
            <w:gridSpan w:val="9"/>
            <w:tcBorders>
              <w:top w:val="nil"/>
              <w:left w:val="nil"/>
              <w:bottom w:val="nil"/>
              <w:right w:val="nil"/>
            </w:tcBorders>
            <w:noWrap w:val="0"/>
            <w:vAlign w:val="bottom"/>
          </w:tcPr>
          <w:p w14:paraId="3F4A8AC9">
            <w:pPr>
              <w:widowControl/>
              <w:spacing w:line="300" w:lineRule="exact"/>
              <w:jc w:val="left"/>
              <w:textAlignment w:val="bottom"/>
              <w:rPr>
                <w:rFonts w:ascii="Times New Roman" w:hAnsi="Times New Roman" w:eastAsia="仿宋"/>
                <w:color w:val="000000"/>
                <w:sz w:val="20"/>
                <w:szCs w:val="20"/>
              </w:rPr>
            </w:pPr>
            <w:r>
              <w:rPr>
                <w:rFonts w:ascii="Times New Roman" w:hAnsi="Times New Roman" w:eastAsia="仿宋"/>
                <w:color w:val="000000"/>
                <w:kern w:val="0"/>
                <w:sz w:val="20"/>
                <w:szCs w:val="20"/>
                <w:lang w:bidi="ar"/>
              </w:rPr>
              <w:t xml:space="preserve">    3.全年执行数是指按照国家集中支付制度要求所形成的实际支出。</w:t>
            </w:r>
          </w:p>
        </w:tc>
      </w:tr>
      <w:tr w14:paraId="7F28C7A1">
        <w:tblPrEx>
          <w:tblCellMar>
            <w:top w:w="0" w:type="dxa"/>
            <w:left w:w="108" w:type="dxa"/>
            <w:bottom w:w="0" w:type="dxa"/>
            <w:right w:w="108" w:type="dxa"/>
          </w:tblCellMar>
        </w:tblPrEx>
        <w:trPr>
          <w:trHeight w:val="240" w:hRule="atLeast"/>
          <w:jc w:val="center"/>
        </w:trPr>
        <w:tc>
          <w:tcPr>
            <w:tcW w:w="15590" w:type="dxa"/>
            <w:gridSpan w:val="9"/>
            <w:tcBorders>
              <w:top w:val="nil"/>
              <w:left w:val="nil"/>
              <w:bottom w:val="nil"/>
              <w:right w:val="nil"/>
            </w:tcBorders>
            <w:noWrap w:val="0"/>
            <w:vAlign w:val="bottom"/>
          </w:tcPr>
          <w:p w14:paraId="26D30285">
            <w:pPr>
              <w:widowControl/>
              <w:spacing w:line="300" w:lineRule="exact"/>
              <w:jc w:val="left"/>
              <w:textAlignment w:val="bottom"/>
              <w:rPr>
                <w:rFonts w:ascii="Times New Roman" w:hAnsi="Times New Roman" w:eastAsia="仿宋"/>
                <w:color w:val="000000"/>
                <w:sz w:val="20"/>
                <w:szCs w:val="20"/>
              </w:rPr>
            </w:pPr>
            <w:r>
              <w:rPr>
                <w:rFonts w:ascii="Times New Roman" w:hAnsi="Times New Roman" w:eastAsia="仿宋"/>
                <w:color w:val="000000"/>
                <w:kern w:val="0"/>
                <w:sz w:val="20"/>
                <w:szCs w:val="20"/>
                <w:lang w:bidi="ar"/>
              </w:rPr>
              <w:t xml:space="preserve">    4.定量指标。地方各级主管部门对资金使用单位填写的实际完成值汇总时，绝对值直接累加计算，相对值按照资金额度加权平均计算。</w:t>
            </w:r>
          </w:p>
        </w:tc>
      </w:tr>
      <w:tr w14:paraId="453F9B61">
        <w:tblPrEx>
          <w:tblCellMar>
            <w:top w:w="0" w:type="dxa"/>
            <w:left w:w="108" w:type="dxa"/>
            <w:bottom w:w="0" w:type="dxa"/>
            <w:right w:w="108" w:type="dxa"/>
          </w:tblCellMar>
        </w:tblPrEx>
        <w:trPr>
          <w:trHeight w:val="240" w:hRule="atLeast"/>
          <w:jc w:val="center"/>
        </w:trPr>
        <w:tc>
          <w:tcPr>
            <w:tcW w:w="15590" w:type="dxa"/>
            <w:gridSpan w:val="9"/>
            <w:tcBorders>
              <w:top w:val="nil"/>
              <w:left w:val="nil"/>
              <w:bottom w:val="nil"/>
              <w:right w:val="nil"/>
            </w:tcBorders>
            <w:noWrap w:val="0"/>
            <w:vAlign w:val="bottom"/>
          </w:tcPr>
          <w:p w14:paraId="6A635D52">
            <w:pPr>
              <w:widowControl/>
              <w:spacing w:line="300" w:lineRule="exact"/>
              <w:jc w:val="left"/>
              <w:textAlignment w:val="bottom"/>
              <w:rPr>
                <w:rFonts w:ascii="Times New Roman" w:hAnsi="Times New Roman" w:eastAsia="仿宋"/>
                <w:color w:val="000000"/>
                <w:sz w:val="20"/>
                <w:szCs w:val="20"/>
              </w:rPr>
            </w:pPr>
            <w:r>
              <w:rPr>
                <w:rFonts w:ascii="Times New Roman" w:hAnsi="Times New Roman" w:eastAsia="仿宋"/>
                <w:color w:val="000000"/>
                <w:kern w:val="0"/>
                <w:sz w:val="20"/>
                <w:szCs w:val="20"/>
                <w:lang w:bidi="ar"/>
              </w:rPr>
              <w:t xml:space="preserve">    5.定性指标。资金使用单位分别按照80%（含）-100%、60%（含）-80%、0%-60%合理填报实际完成值。地方各级主管部门汇总时，按照资金额度加权平均计算完成值。</w:t>
            </w:r>
          </w:p>
        </w:tc>
      </w:tr>
    </w:tbl>
    <w:p w14:paraId="2DEAD1AE">
      <w:pPr>
        <w:pStyle w:val="4"/>
        <w:adjustRightInd w:val="0"/>
        <w:snapToGrid w:val="0"/>
        <w:spacing w:line="600" w:lineRule="exact"/>
        <w:jc w:val="both"/>
        <w:rPr>
          <w:rFonts w:ascii="Times New Roman" w:hAnsi="Times New Roman" w:eastAsia="黑体"/>
          <w:kern w:val="21"/>
          <w:sz w:val="32"/>
          <w:szCs w:val="32"/>
        </w:rPr>
      </w:pPr>
    </w:p>
    <w:p w14:paraId="106220C3">
      <w:pPr>
        <w:pStyle w:val="4"/>
        <w:adjustRightInd w:val="0"/>
        <w:snapToGrid w:val="0"/>
        <w:spacing w:line="600" w:lineRule="exact"/>
        <w:jc w:val="both"/>
        <w:rPr>
          <w:rFonts w:ascii="Times New Roman" w:hAnsi="Times New Roman" w:eastAsia="黑体"/>
          <w:kern w:val="21"/>
          <w:sz w:val="32"/>
          <w:szCs w:val="32"/>
        </w:rPr>
      </w:pPr>
    </w:p>
    <w:p w14:paraId="3C06EC5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08B848BB"/>
    <w:rsid w:val="08B84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 文字 + 首行缩进:  2 字符3"/>
    <w:basedOn w:val="1"/>
    <w:qFormat/>
    <w:uiPriority w:val="0"/>
    <w:pPr>
      <w:spacing w:line="360" w:lineRule="auto"/>
      <w:jc w:val="left"/>
    </w:pPr>
    <w:rPr>
      <w:sz w:val="28"/>
      <w:szCs w:val="28"/>
    </w:rPr>
  </w:style>
  <w:style w:type="character" w:customStyle="1" w:styleId="5">
    <w:name w:val="font16"/>
    <w:uiPriority w:val="0"/>
    <w:rPr>
      <w:rFonts w:hint="eastAsia" w:ascii="仿宋_GB2312" w:hAnsi="Times New Roman" w:eastAsia="仿宋_GB2312" w:cs="仿宋_GB2312"/>
      <w:color w:val="000000"/>
      <w:sz w:val="20"/>
      <w:szCs w:val="20"/>
      <w:u w:val="none"/>
    </w:rPr>
  </w:style>
  <w:style w:type="character" w:customStyle="1" w:styleId="6">
    <w:name w:val="font101"/>
    <w:uiPriority w:val="0"/>
    <w:rPr>
      <w:rFonts w:hint="default" w:ascii="Times New Roman" w:hAnsi="Times New Roman" w:eastAsia="宋体"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2025-04-03T09:28:00Z</dcterms:created>
  <dc:creator>杨祖德</dc:creator>
  <cp:lastModifiedBy>杨祖德</cp:lastModifiedBy>
  <dcterms:modified xsi:type="dcterms:W3CDTF">2025-04-03T09:28:32Z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CA64046B14DF4706AB4CB03FC397D9E0_11</vt:lpwstr>
  </property>
</Properties>
</file>