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A309B">
      <w:pPr>
        <w:adjustRightInd w:val="0"/>
        <w:snapToGrid w:val="0"/>
        <w:spacing w:line="600" w:lineRule="exact"/>
        <w:rPr>
          <w:rFonts w:ascii="Times New Roman" w:hAnsi="Times New Roman" w:eastAsia="黑体"/>
          <w:kern w:val="21"/>
          <w:sz w:val="32"/>
          <w:szCs w:val="32"/>
        </w:rPr>
      </w:pPr>
      <w:r>
        <w:rPr>
          <w:rFonts w:ascii="Times New Roman" w:hAnsi="Times New Roman" w:eastAsia="黑体"/>
          <w:kern w:val="21"/>
          <w:sz w:val="32"/>
          <w:szCs w:val="32"/>
        </w:rPr>
        <w:t>附件</w:t>
      </w:r>
    </w:p>
    <w:p w14:paraId="0346CF0C">
      <w:pPr>
        <w:adjustRightInd w:val="0"/>
        <w:spacing w:line="600" w:lineRule="exact"/>
        <w:ind w:firstLine="856" w:firstLineChars="200"/>
        <w:jc w:val="center"/>
        <w:rPr>
          <w:rFonts w:ascii="Times New Roman" w:hAnsi="Times New Roman" w:eastAsia="方正小标宋简体"/>
          <w:sz w:val="44"/>
          <w:szCs w:val="44"/>
        </w:rPr>
      </w:pPr>
      <w:r>
        <w:rPr>
          <w:rFonts w:ascii="Times New Roman" w:hAnsi="Times New Roman" w:eastAsia="方正小标宋简体"/>
          <w:spacing w:val="-6"/>
          <w:kern w:val="21"/>
          <w:sz w:val="44"/>
          <w:szCs w:val="44"/>
        </w:rPr>
        <w:t>湖南省2025年“一起益企”中小企业服务行动清单</w:t>
      </w:r>
    </w:p>
    <w:tbl>
      <w:tblPr>
        <w:tblStyle w:val="6"/>
        <w:tblW w:w="153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0"/>
        <w:gridCol w:w="1929"/>
        <w:gridCol w:w="11906"/>
      </w:tblGrid>
      <w:tr w14:paraId="2EFC9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tblHeader/>
          <w:jc w:val="center"/>
        </w:trPr>
        <w:tc>
          <w:tcPr>
            <w:tcW w:w="1470" w:type="dxa"/>
            <w:noWrap w:val="0"/>
            <w:vAlign w:val="center"/>
          </w:tcPr>
          <w:p w14:paraId="089377D6">
            <w:pPr>
              <w:adjustRightInd w:val="0"/>
              <w:snapToGrid w:val="0"/>
              <w:spacing w:line="360" w:lineRule="exact"/>
              <w:jc w:val="center"/>
              <w:rPr>
                <w:rFonts w:ascii="Times New Roman" w:hAnsi="Times New Roman" w:eastAsia="黑体"/>
                <w:sz w:val="28"/>
                <w:szCs w:val="28"/>
              </w:rPr>
            </w:pPr>
            <w:r>
              <w:rPr>
                <w:rFonts w:ascii="Times New Roman" w:hAnsi="Times New Roman" w:eastAsia="黑体"/>
                <w:sz w:val="28"/>
                <w:szCs w:val="28"/>
              </w:rPr>
              <w:t>服务方向</w:t>
            </w:r>
          </w:p>
        </w:tc>
        <w:tc>
          <w:tcPr>
            <w:tcW w:w="1929" w:type="dxa"/>
            <w:noWrap w:val="0"/>
            <w:vAlign w:val="center"/>
          </w:tcPr>
          <w:p w14:paraId="3FC103A4">
            <w:pPr>
              <w:adjustRightInd w:val="0"/>
              <w:snapToGrid w:val="0"/>
              <w:spacing w:line="360" w:lineRule="exact"/>
              <w:jc w:val="center"/>
              <w:rPr>
                <w:rFonts w:ascii="Times New Roman" w:hAnsi="Times New Roman" w:eastAsia="黑体"/>
                <w:sz w:val="28"/>
                <w:szCs w:val="28"/>
              </w:rPr>
            </w:pPr>
            <w:r>
              <w:rPr>
                <w:rFonts w:ascii="Times New Roman" w:hAnsi="Times New Roman" w:eastAsia="黑体"/>
                <w:sz w:val="28"/>
                <w:szCs w:val="28"/>
              </w:rPr>
              <w:t>部门</w:t>
            </w:r>
          </w:p>
        </w:tc>
        <w:tc>
          <w:tcPr>
            <w:tcW w:w="11906" w:type="dxa"/>
            <w:noWrap w:val="0"/>
            <w:vAlign w:val="center"/>
          </w:tcPr>
          <w:p w14:paraId="4A820106">
            <w:pPr>
              <w:adjustRightInd w:val="0"/>
              <w:snapToGrid w:val="0"/>
              <w:spacing w:line="360" w:lineRule="exact"/>
              <w:jc w:val="center"/>
              <w:rPr>
                <w:rFonts w:ascii="Times New Roman" w:hAnsi="Times New Roman" w:eastAsia="黑体"/>
                <w:sz w:val="28"/>
                <w:szCs w:val="28"/>
              </w:rPr>
            </w:pPr>
            <w:r>
              <w:rPr>
                <w:rFonts w:ascii="Times New Roman" w:hAnsi="Times New Roman" w:eastAsia="黑体"/>
                <w:sz w:val="28"/>
                <w:szCs w:val="28"/>
              </w:rPr>
              <w:t>服务举措</w:t>
            </w:r>
          </w:p>
        </w:tc>
      </w:tr>
      <w:tr w14:paraId="7752A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18" w:hRule="atLeast"/>
          <w:jc w:val="center"/>
        </w:trPr>
        <w:tc>
          <w:tcPr>
            <w:tcW w:w="1470" w:type="dxa"/>
            <w:vMerge w:val="restart"/>
            <w:noWrap w:val="0"/>
            <w:vAlign w:val="center"/>
          </w:tcPr>
          <w:p w14:paraId="0A7C1B8C">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sz w:val="28"/>
                <w:szCs w:val="28"/>
              </w:rPr>
              <w:t>政策惠企</w:t>
            </w:r>
          </w:p>
        </w:tc>
        <w:tc>
          <w:tcPr>
            <w:tcW w:w="1929" w:type="dxa"/>
            <w:noWrap w:val="0"/>
            <w:vAlign w:val="center"/>
          </w:tcPr>
          <w:p w14:paraId="56FF2F72">
            <w:pPr>
              <w:adjustRightInd w:val="0"/>
              <w:snapToGrid w:val="0"/>
              <w:spacing w:line="360" w:lineRule="exact"/>
              <w:jc w:val="center"/>
              <w:rPr>
                <w:rFonts w:ascii="Times New Roman" w:hAnsi="Times New Roman" w:eastAsia="仿宋"/>
                <w:sz w:val="28"/>
                <w:szCs w:val="28"/>
              </w:rPr>
            </w:pPr>
            <w:r>
              <w:rPr>
                <w:rFonts w:ascii="Times New Roman" w:hAnsi="Times New Roman" w:eastAsia="仿宋"/>
                <w:sz w:val="28"/>
                <w:szCs w:val="28"/>
              </w:rPr>
              <w:t>省工业和信息化厅</w:t>
            </w:r>
          </w:p>
        </w:tc>
        <w:tc>
          <w:tcPr>
            <w:tcW w:w="11906" w:type="dxa"/>
            <w:noWrap w:val="0"/>
            <w:vAlign w:val="center"/>
          </w:tcPr>
          <w:p w14:paraId="0A518521">
            <w:pPr>
              <w:tabs>
                <w:tab w:val="left" w:pos="312"/>
              </w:tabs>
              <w:adjustRightInd w:val="0"/>
              <w:snapToGrid w:val="0"/>
              <w:spacing w:line="300" w:lineRule="exact"/>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1.强化规划引领，开展中小企业专精特新发展路径课题研究、促进中小企业专精特新发展“十五五”规划研究编制。</w:t>
            </w:r>
          </w:p>
          <w:p w14:paraId="7440A7A2">
            <w:pPr>
              <w:tabs>
                <w:tab w:val="left" w:pos="312"/>
              </w:tabs>
              <w:adjustRightInd w:val="0"/>
              <w:snapToGrid w:val="0"/>
              <w:spacing w:line="300" w:lineRule="exact"/>
              <w:rPr>
                <w:rFonts w:ascii="Times New Roman" w:hAnsi="Times New Roman" w:eastAsia="仿宋"/>
                <w:sz w:val="28"/>
                <w:szCs w:val="28"/>
              </w:rPr>
            </w:pPr>
            <w:r>
              <w:rPr>
                <w:rFonts w:ascii="Times New Roman" w:hAnsi="Times New Roman" w:eastAsia="仿宋"/>
                <w:sz w:val="28"/>
                <w:szCs w:val="28"/>
              </w:rPr>
              <w:t>2.优化</w:t>
            </w:r>
            <w:r>
              <w:rPr>
                <w:rFonts w:ascii="Times New Roman" w:hAnsi="Times New Roman" w:eastAsia="仿宋"/>
                <w:color w:val="000000"/>
                <w:kern w:val="0"/>
                <w:sz w:val="28"/>
                <w:szCs w:val="28"/>
                <w:lang w:bidi="ar"/>
              </w:rPr>
              <w:t>全省中小企业公共服务“一张网”，推进数据归集共享，提升服务质效，丰富政策帮享、需求帮解、产业对接等功能，努力实现服务精准适配。推动各地汇集涉企惠企政策</w:t>
            </w:r>
            <w:r>
              <w:rPr>
                <w:rFonts w:hint="eastAsia" w:ascii="Times New Roman" w:hAnsi="Times New Roman" w:eastAsia="仿宋"/>
                <w:color w:val="000000"/>
                <w:kern w:val="0"/>
                <w:sz w:val="28"/>
                <w:szCs w:val="28"/>
                <w:lang w:bidi="ar"/>
              </w:rPr>
              <w:t>，</w:t>
            </w:r>
            <w:r>
              <w:rPr>
                <w:rFonts w:ascii="Times New Roman" w:hAnsi="Times New Roman" w:eastAsia="仿宋"/>
                <w:color w:val="000000"/>
                <w:kern w:val="0"/>
                <w:sz w:val="28"/>
                <w:szCs w:val="28"/>
                <w:lang w:bidi="ar"/>
              </w:rPr>
              <w:t>梳理要点清单，多形式、多渠道开展政策宣贯活动。</w:t>
            </w:r>
          </w:p>
        </w:tc>
      </w:tr>
      <w:tr w14:paraId="4E0A1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470" w:type="dxa"/>
            <w:vMerge w:val="continue"/>
            <w:noWrap w:val="0"/>
            <w:vAlign w:val="center"/>
          </w:tcPr>
          <w:p w14:paraId="61B2C1AA">
            <w:pPr>
              <w:adjustRightInd w:val="0"/>
              <w:snapToGrid w:val="0"/>
              <w:spacing w:line="360" w:lineRule="exact"/>
              <w:jc w:val="center"/>
              <w:rPr>
                <w:rFonts w:ascii="Times New Roman" w:hAnsi="Times New Roman" w:eastAsia="仿宋"/>
                <w:sz w:val="28"/>
                <w:szCs w:val="28"/>
              </w:rPr>
            </w:pPr>
          </w:p>
        </w:tc>
        <w:tc>
          <w:tcPr>
            <w:tcW w:w="1929" w:type="dxa"/>
            <w:noWrap w:val="0"/>
            <w:vAlign w:val="center"/>
          </w:tcPr>
          <w:p w14:paraId="4BFC0C8E">
            <w:pPr>
              <w:tabs>
                <w:tab w:val="left" w:pos="312"/>
              </w:tabs>
              <w:adjustRightInd w:val="0"/>
              <w:snapToGrid w:val="0"/>
              <w:spacing w:line="340" w:lineRule="exact"/>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省发展改革委</w:t>
            </w:r>
          </w:p>
        </w:tc>
        <w:tc>
          <w:tcPr>
            <w:tcW w:w="11906" w:type="dxa"/>
            <w:noWrap w:val="0"/>
            <w:vAlign w:val="center"/>
          </w:tcPr>
          <w:p w14:paraId="66002868">
            <w:pPr>
              <w:tabs>
                <w:tab w:val="left" w:pos="312"/>
              </w:tabs>
              <w:adjustRightInd w:val="0"/>
              <w:snapToGrid w:val="0"/>
              <w:spacing w:line="300" w:lineRule="exact"/>
              <w:rPr>
                <w:rFonts w:ascii="Times New Roman" w:hAnsi="Times New Roman" w:eastAsia="仿宋"/>
                <w:color w:val="000000"/>
                <w:kern w:val="0"/>
                <w:sz w:val="28"/>
                <w:szCs w:val="28"/>
                <w:lang w:bidi="ar"/>
              </w:rPr>
            </w:pPr>
            <w:r>
              <w:rPr>
                <w:rFonts w:ascii="Times New Roman" w:hAnsi="Times New Roman" w:eastAsia="仿宋"/>
                <w:sz w:val="28"/>
                <w:szCs w:val="28"/>
              </w:rPr>
              <w:t>3.</w:t>
            </w:r>
            <w:r>
              <w:rPr>
                <w:rFonts w:ascii="Times New Roman" w:hAnsi="Times New Roman" w:eastAsia="仿宋"/>
                <w:color w:val="000000"/>
                <w:kern w:val="0"/>
                <w:sz w:val="28"/>
                <w:szCs w:val="28"/>
                <w:lang w:bidi="ar"/>
              </w:rPr>
              <w:t>健全信用修复制度，优化信用修复服务，完善信用修复协同联动、“一网通办”机制。</w:t>
            </w:r>
          </w:p>
        </w:tc>
      </w:tr>
      <w:tr w14:paraId="0C456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04" w:hRule="atLeast"/>
          <w:jc w:val="center"/>
        </w:trPr>
        <w:tc>
          <w:tcPr>
            <w:tcW w:w="1470" w:type="dxa"/>
            <w:vMerge w:val="continue"/>
            <w:noWrap w:val="0"/>
            <w:vAlign w:val="center"/>
          </w:tcPr>
          <w:p w14:paraId="193D5E76">
            <w:pPr>
              <w:adjustRightInd w:val="0"/>
              <w:snapToGrid w:val="0"/>
              <w:spacing w:line="360" w:lineRule="exact"/>
              <w:jc w:val="center"/>
              <w:rPr>
                <w:rFonts w:ascii="Times New Roman" w:hAnsi="Times New Roman" w:eastAsia="仿宋"/>
                <w:color w:val="000000"/>
                <w:kern w:val="0"/>
                <w:sz w:val="28"/>
                <w:szCs w:val="28"/>
                <w:lang w:bidi="ar"/>
              </w:rPr>
            </w:pPr>
          </w:p>
        </w:tc>
        <w:tc>
          <w:tcPr>
            <w:tcW w:w="1929" w:type="dxa"/>
            <w:noWrap w:val="0"/>
            <w:vAlign w:val="center"/>
          </w:tcPr>
          <w:p w14:paraId="40448EBE">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sz w:val="28"/>
                <w:szCs w:val="28"/>
              </w:rPr>
              <w:t>省财政厅</w:t>
            </w:r>
          </w:p>
        </w:tc>
        <w:tc>
          <w:tcPr>
            <w:tcW w:w="11906" w:type="dxa"/>
            <w:noWrap w:val="0"/>
            <w:vAlign w:val="center"/>
          </w:tcPr>
          <w:p w14:paraId="620F0AF5">
            <w:pPr>
              <w:adjustRightInd w:val="0"/>
              <w:snapToGrid w:val="0"/>
              <w:spacing w:line="300" w:lineRule="exact"/>
              <w:rPr>
                <w:rFonts w:ascii="Times New Roman" w:hAnsi="Times New Roman" w:eastAsia="仿宋"/>
                <w:sz w:val="28"/>
                <w:szCs w:val="28"/>
              </w:rPr>
            </w:pPr>
            <w:r>
              <w:rPr>
                <w:rFonts w:ascii="Times New Roman" w:hAnsi="Times New Roman" w:eastAsia="仿宋"/>
                <w:sz w:val="28"/>
                <w:szCs w:val="28"/>
              </w:rPr>
              <w:t>4.落实保费补贴和代偿补偿政策，引导全省政府性融资担保机构更好发挥“增信、分险”功能，加大对中小企业的融资支持力度。继续实施“潇湘财银贷”风险补偿政策，引导银行向园区企业发放更多低利率、无抵押的纯信用贷款。</w:t>
            </w:r>
          </w:p>
          <w:p w14:paraId="2A8EC221">
            <w:pPr>
              <w:adjustRightInd w:val="0"/>
              <w:snapToGrid w:val="0"/>
              <w:spacing w:line="300" w:lineRule="exact"/>
              <w:rPr>
                <w:rFonts w:ascii="Times New Roman" w:hAnsi="Times New Roman" w:eastAsia="仿宋"/>
                <w:sz w:val="28"/>
                <w:szCs w:val="28"/>
              </w:rPr>
            </w:pPr>
            <w:r>
              <w:rPr>
                <w:rFonts w:ascii="Times New Roman" w:hAnsi="Times New Roman" w:eastAsia="仿宋"/>
                <w:sz w:val="28"/>
                <w:szCs w:val="28"/>
              </w:rPr>
              <w:t>5.会同行业主管部门按时下达国省惠企财政资金，督促市县及时按程序拨付至企业，提高企业获得感。</w:t>
            </w:r>
          </w:p>
        </w:tc>
      </w:tr>
      <w:tr w14:paraId="3BC0D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0" w:hRule="atLeast"/>
          <w:jc w:val="center"/>
        </w:trPr>
        <w:tc>
          <w:tcPr>
            <w:tcW w:w="1470" w:type="dxa"/>
            <w:vMerge w:val="continue"/>
            <w:noWrap w:val="0"/>
            <w:vAlign w:val="center"/>
          </w:tcPr>
          <w:p w14:paraId="146AB706">
            <w:pPr>
              <w:adjustRightInd w:val="0"/>
              <w:snapToGrid w:val="0"/>
              <w:spacing w:line="360" w:lineRule="exact"/>
              <w:jc w:val="center"/>
              <w:rPr>
                <w:rFonts w:ascii="Times New Roman" w:hAnsi="Times New Roman" w:eastAsia="仿宋"/>
                <w:color w:val="000000"/>
                <w:kern w:val="0"/>
                <w:sz w:val="28"/>
                <w:szCs w:val="28"/>
                <w:lang w:bidi="ar"/>
              </w:rPr>
            </w:pPr>
          </w:p>
        </w:tc>
        <w:tc>
          <w:tcPr>
            <w:tcW w:w="1929" w:type="dxa"/>
            <w:noWrap w:val="0"/>
            <w:vAlign w:val="center"/>
          </w:tcPr>
          <w:p w14:paraId="3C68FC48">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省人力资源社会保障厅</w:t>
            </w:r>
          </w:p>
        </w:tc>
        <w:tc>
          <w:tcPr>
            <w:tcW w:w="11906" w:type="dxa"/>
            <w:noWrap w:val="0"/>
            <w:vAlign w:val="center"/>
          </w:tcPr>
          <w:p w14:paraId="53B29166">
            <w:pPr>
              <w:adjustRightInd w:val="0"/>
              <w:snapToGrid w:val="0"/>
              <w:spacing w:line="300" w:lineRule="exact"/>
              <w:rPr>
                <w:rFonts w:ascii="Times New Roman" w:hAnsi="Times New Roman" w:eastAsia="仿宋"/>
                <w:sz w:val="28"/>
                <w:szCs w:val="28"/>
              </w:rPr>
            </w:pPr>
            <w:r>
              <w:rPr>
                <w:rFonts w:ascii="Times New Roman" w:hAnsi="Times New Roman" w:eastAsia="仿宋"/>
                <w:sz w:val="28"/>
                <w:szCs w:val="28"/>
              </w:rPr>
              <w:t>6.对招用就业困难人员并缴纳社会保险费的单位，按其为就业困难人员实际缴纳的基本养老保险费、基本医疗保险费和失业保险费给予补贴，不包括就业困难人员个人应缴纳的部分。对招用毕业年度和离校2年内未就业高校毕业生，与之签订1年及以上劳动合同并为其缴纳社会保险费的小微企业，给予最长1年的社会保险补贴，不包括高校毕业生个人应缴纳的部分。</w:t>
            </w:r>
          </w:p>
          <w:p w14:paraId="0E9A2FE9">
            <w:pPr>
              <w:adjustRightInd w:val="0"/>
              <w:snapToGrid w:val="0"/>
              <w:spacing w:line="300" w:lineRule="exact"/>
              <w:rPr>
                <w:rFonts w:ascii="Times New Roman" w:hAnsi="Times New Roman" w:eastAsia="仿宋"/>
                <w:sz w:val="28"/>
                <w:szCs w:val="28"/>
              </w:rPr>
            </w:pPr>
            <w:r>
              <w:rPr>
                <w:rFonts w:ascii="Times New Roman" w:hAnsi="Times New Roman" w:eastAsia="仿宋"/>
                <w:sz w:val="28"/>
                <w:szCs w:val="28"/>
              </w:rPr>
              <w:t>7.对企业自行招用毕业年度和离校2年内未就业的高校毕业生及16-24岁登记失业青年，签订劳动合同，并按规定为其足额缴纳3个月以上的失业、工伤、职工养老保险费的，给予企业1500元每人的一次性扩岗补助。</w:t>
            </w:r>
          </w:p>
          <w:p w14:paraId="44E27BC3">
            <w:pPr>
              <w:adjustRightInd w:val="0"/>
              <w:snapToGrid w:val="0"/>
              <w:spacing w:line="300" w:lineRule="exact"/>
              <w:rPr>
                <w:rFonts w:ascii="Times New Roman" w:hAnsi="Times New Roman" w:eastAsia="仿宋"/>
                <w:sz w:val="28"/>
                <w:szCs w:val="28"/>
              </w:rPr>
            </w:pPr>
            <w:r>
              <w:rPr>
                <w:rFonts w:ascii="Times New Roman" w:hAnsi="Times New Roman" w:eastAsia="仿宋"/>
                <w:sz w:val="28"/>
                <w:szCs w:val="28"/>
              </w:rPr>
              <w:t>8.联合相关单位制定印发《湖南省创业担保贷款实施办法》，健全担保、放款、追偿等机制，强化创业担保贷款在扶持企业、推动就业方面导向功能。</w:t>
            </w:r>
          </w:p>
        </w:tc>
      </w:tr>
      <w:tr w14:paraId="2AE54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57" w:hRule="atLeast"/>
          <w:jc w:val="center"/>
        </w:trPr>
        <w:tc>
          <w:tcPr>
            <w:tcW w:w="1470" w:type="dxa"/>
            <w:vMerge w:val="restart"/>
            <w:noWrap w:val="0"/>
            <w:vAlign w:val="center"/>
          </w:tcPr>
          <w:p w14:paraId="7303EE9E">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sz w:val="28"/>
                <w:szCs w:val="28"/>
              </w:rPr>
              <w:t>政策惠企</w:t>
            </w:r>
          </w:p>
        </w:tc>
        <w:tc>
          <w:tcPr>
            <w:tcW w:w="1929" w:type="dxa"/>
            <w:noWrap w:val="0"/>
            <w:vAlign w:val="center"/>
          </w:tcPr>
          <w:p w14:paraId="121B7BBD">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省商务厅</w:t>
            </w:r>
          </w:p>
        </w:tc>
        <w:tc>
          <w:tcPr>
            <w:tcW w:w="11906" w:type="dxa"/>
            <w:noWrap w:val="0"/>
            <w:vAlign w:val="center"/>
          </w:tcPr>
          <w:p w14:paraId="393D0391">
            <w:pPr>
              <w:adjustRightInd w:val="0"/>
              <w:snapToGrid w:val="0"/>
              <w:spacing w:line="320" w:lineRule="exact"/>
              <w:rPr>
                <w:rFonts w:ascii="Times New Roman" w:hAnsi="Times New Roman" w:eastAsia="仿宋"/>
                <w:sz w:val="28"/>
                <w:szCs w:val="28"/>
              </w:rPr>
            </w:pPr>
            <w:r>
              <w:rPr>
                <w:rFonts w:ascii="Times New Roman" w:hAnsi="Times New Roman" w:eastAsia="仿宋"/>
                <w:sz w:val="28"/>
                <w:szCs w:val="28"/>
              </w:rPr>
              <w:t>9.加快电子证照测试进程，不断提升对外投资效率。切实履行“危地不往、乱地不去、危业不投”要求，及时妥善处置境外突发事件，对拟赴高风险国家和地区投资合作项目给予审慎评估和必要支持，帮助企业防范化解风险。</w:t>
            </w:r>
          </w:p>
        </w:tc>
      </w:tr>
      <w:tr w14:paraId="247FD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58" w:hRule="atLeast"/>
          <w:jc w:val="center"/>
        </w:trPr>
        <w:tc>
          <w:tcPr>
            <w:tcW w:w="1470" w:type="dxa"/>
            <w:vMerge w:val="continue"/>
            <w:noWrap w:val="0"/>
            <w:vAlign w:val="center"/>
          </w:tcPr>
          <w:p w14:paraId="7C47EC44">
            <w:pPr>
              <w:adjustRightInd w:val="0"/>
              <w:snapToGrid w:val="0"/>
              <w:spacing w:line="360" w:lineRule="exact"/>
              <w:jc w:val="center"/>
              <w:rPr>
                <w:rFonts w:ascii="Times New Roman" w:hAnsi="Times New Roman" w:eastAsia="仿宋"/>
                <w:color w:val="000000"/>
                <w:kern w:val="0"/>
                <w:sz w:val="28"/>
                <w:szCs w:val="28"/>
                <w:lang w:bidi="ar"/>
              </w:rPr>
            </w:pPr>
          </w:p>
        </w:tc>
        <w:tc>
          <w:tcPr>
            <w:tcW w:w="1929" w:type="dxa"/>
            <w:noWrap w:val="0"/>
            <w:vAlign w:val="center"/>
          </w:tcPr>
          <w:p w14:paraId="49C2A6F6">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省退役军人</w:t>
            </w:r>
          </w:p>
          <w:p w14:paraId="146CCFC3">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事务厅</w:t>
            </w:r>
          </w:p>
        </w:tc>
        <w:tc>
          <w:tcPr>
            <w:tcW w:w="11906" w:type="dxa"/>
            <w:noWrap w:val="0"/>
            <w:vAlign w:val="center"/>
          </w:tcPr>
          <w:p w14:paraId="01F27F7D">
            <w:pPr>
              <w:adjustRightInd w:val="0"/>
              <w:snapToGrid w:val="0"/>
              <w:spacing w:line="320" w:lineRule="exact"/>
              <w:rPr>
                <w:rFonts w:ascii="Times New Roman" w:hAnsi="Times New Roman" w:eastAsia="仿宋"/>
                <w:sz w:val="28"/>
                <w:szCs w:val="28"/>
              </w:rPr>
            </w:pPr>
            <w:r>
              <w:rPr>
                <w:rFonts w:ascii="Times New Roman" w:hAnsi="Times New Roman" w:eastAsia="仿宋"/>
                <w:sz w:val="28"/>
                <w:szCs w:val="28"/>
              </w:rPr>
              <w:t>10.充分利用网络平台开设“岗位推介、政策解答、创业辅导”等专栏，积极为退役军人提供政策咨询、投资贷款等服务，以自主就业退役军人税收优惠政策为引导，激励退役军人自主创业。</w:t>
            </w:r>
          </w:p>
          <w:p w14:paraId="1206794F">
            <w:pPr>
              <w:adjustRightInd w:val="0"/>
              <w:snapToGrid w:val="0"/>
              <w:spacing w:line="320" w:lineRule="exact"/>
              <w:rPr>
                <w:rFonts w:ascii="Times New Roman" w:hAnsi="Times New Roman" w:eastAsia="仿宋"/>
                <w:sz w:val="28"/>
                <w:szCs w:val="28"/>
              </w:rPr>
            </w:pPr>
            <w:r>
              <w:rPr>
                <w:rFonts w:ascii="Times New Roman" w:hAnsi="Times New Roman" w:eastAsia="仿宋"/>
                <w:sz w:val="28"/>
                <w:szCs w:val="28"/>
              </w:rPr>
              <w:t>11.会同湖南省地方金融监督管理局落实《国家金融监督管理总局 退役军人事务部关于开展退役军人创业贷进一步支持退役军人创业创新的通知》要求，加大创业担保贷款支持力度，创新金融信贷产品，切实解决退役军人创业融资难题。</w:t>
            </w:r>
          </w:p>
          <w:p w14:paraId="5DB6DD4B">
            <w:pPr>
              <w:adjustRightInd w:val="0"/>
              <w:snapToGrid w:val="0"/>
              <w:spacing w:line="320" w:lineRule="exact"/>
              <w:rPr>
                <w:rFonts w:ascii="Times New Roman" w:hAnsi="Times New Roman" w:eastAsia="仿宋"/>
                <w:sz w:val="28"/>
                <w:szCs w:val="28"/>
              </w:rPr>
            </w:pPr>
            <w:r>
              <w:rPr>
                <w:rFonts w:ascii="Times New Roman" w:hAnsi="Times New Roman" w:eastAsia="仿宋"/>
                <w:sz w:val="28"/>
                <w:szCs w:val="28"/>
              </w:rPr>
              <w:t>12.充分发挥湖南省新时代退役军人关爱基金会作用，进一步拓宽资金保障渠道，精准服务退役军人创业，引导更多社会资本支持退役军人初创企业。</w:t>
            </w:r>
          </w:p>
        </w:tc>
      </w:tr>
      <w:tr w14:paraId="1DD54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84" w:hRule="atLeast"/>
          <w:jc w:val="center"/>
        </w:trPr>
        <w:tc>
          <w:tcPr>
            <w:tcW w:w="1470" w:type="dxa"/>
            <w:vMerge w:val="continue"/>
            <w:noWrap w:val="0"/>
            <w:vAlign w:val="center"/>
          </w:tcPr>
          <w:p w14:paraId="50274E70">
            <w:pPr>
              <w:adjustRightInd w:val="0"/>
              <w:snapToGrid w:val="0"/>
              <w:spacing w:line="360" w:lineRule="exact"/>
              <w:jc w:val="center"/>
              <w:rPr>
                <w:rFonts w:ascii="Times New Roman" w:hAnsi="Times New Roman" w:eastAsia="仿宋"/>
                <w:color w:val="000000"/>
                <w:kern w:val="0"/>
                <w:sz w:val="28"/>
                <w:szCs w:val="28"/>
                <w:lang w:bidi="ar"/>
              </w:rPr>
            </w:pPr>
          </w:p>
        </w:tc>
        <w:tc>
          <w:tcPr>
            <w:tcW w:w="1929" w:type="dxa"/>
            <w:noWrap w:val="0"/>
            <w:vAlign w:val="center"/>
          </w:tcPr>
          <w:p w14:paraId="14340C53">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长沙海关</w:t>
            </w:r>
          </w:p>
        </w:tc>
        <w:tc>
          <w:tcPr>
            <w:tcW w:w="11906" w:type="dxa"/>
            <w:noWrap w:val="0"/>
            <w:vAlign w:val="center"/>
          </w:tcPr>
          <w:p w14:paraId="5EFA96E1">
            <w:pPr>
              <w:adjustRightInd w:val="0"/>
              <w:snapToGrid w:val="0"/>
              <w:spacing w:line="320" w:lineRule="exact"/>
              <w:rPr>
                <w:rFonts w:ascii="Times New Roman" w:hAnsi="Times New Roman" w:eastAsia="仿宋"/>
                <w:sz w:val="28"/>
                <w:szCs w:val="28"/>
              </w:rPr>
            </w:pPr>
            <w:r>
              <w:rPr>
                <w:rFonts w:ascii="Times New Roman" w:hAnsi="Times New Roman" w:eastAsia="仿宋"/>
                <w:sz w:val="28"/>
                <w:szCs w:val="28"/>
              </w:rPr>
              <w:t>13.立足全省产业实际，选取部分“新三样”企业纳入“国外技术壁垒交涉应对重点企业库”，充分发挥重点企业库应对国外技术壁垒的基础性作用，加强技术性贸易措施影响调查和研究应对，为企业合规出口保驾护航。</w:t>
            </w:r>
          </w:p>
          <w:p w14:paraId="0601DAA8">
            <w:pPr>
              <w:adjustRightInd w:val="0"/>
              <w:snapToGrid w:val="0"/>
              <w:spacing w:line="320" w:lineRule="exact"/>
              <w:rPr>
                <w:rFonts w:ascii="Times New Roman" w:hAnsi="Times New Roman" w:eastAsia="仿宋"/>
                <w:sz w:val="28"/>
                <w:szCs w:val="28"/>
              </w:rPr>
            </w:pPr>
            <w:r>
              <w:rPr>
                <w:rFonts w:ascii="Times New Roman" w:hAnsi="Times New Roman" w:eastAsia="仿宋"/>
                <w:sz w:val="28"/>
                <w:szCs w:val="28"/>
              </w:rPr>
              <w:t>14.依托长沙海关技术中心烟花爆竹国家重点实验室等技术优势，加强与欧盟、美国等检测认证机构的技术交流、检测互认；面向中小企业开展欧洲EC指令、美国CPSC相关法规标准培训，加强对企检测服务、技术支撑、合规咨询服务。</w:t>
            </w:r>
          </w:p>
        </w:tc>
      </w:tr>
      <w:tr w14:paraId="63352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02" w:hRule="atLeast"/>
          <w:jc w:val="center"/>
        </w:trPr>
        <w:tc>
          <w:tcPr>
            <w:tcW w:w="1470" w:type="dxa"/>
            <w:vMerge w:val="continue"/>
            <w:noWrap w:val="0"/>
            <w:vAlign w:val="center"/>
          </w:tcPr>
          <w:p w14:paraId="30AE606B">
            <w:pPr>
              <w:adjustRightInd w:val="0"/>
              <w:snapToGrid w:val="0"/>
              <w:spacing w:line="360" w:lineRule="exact"/>
              <w:jc w:val="center"/>
              <w:rPr>
                <w:rFonts w:ascii="Times New Roman" w:hAnsi="Times New Roman" w:eastAsia="仿宋"/>
                <w:color w:val="000000"/>
                <w:kern w:val="0"/>
                <w:sz w:val="28"/>
                <w:szCs w:val="28"/>
                <w:lang w:bidi="ar"/>
              </w:rPr>
            </w:pPr>
          </w:p>
        </w:tc>
        <w:tc>
          <w:tcPr>
            <w:tcW w:w="1929" w:type="dxa"/>
            <w:noWrap w:val="0"/>
            <w:vAlign w:val="center"/>
          </w:tcPr>
          <w:p w14:paraId="651EF698">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省税务局</w:t>
            </w:r>
          </w:p>
        </w:tc>
        <w:tc>
          <w:tcPr>
            <w:tcW w:w="11906" w:type="dxa"/>
            <w:noWrap w:val="0"/>
            <w:vAlign w:val="center"/>
          </w:tcPr>
          <w:p w14:paraId="0E1987A4">
            <w:pPr>
              <w:adjustRightInd w:val="0"/>
              <w:snapToGrid w:val="0"/>
              <w:spacing w:line="320" w:lineRule="exact"/>
              <w:rPr>
                <w:rFonts w:ascii="Times New Roman" w:hAnsi="Times New Roman" w:eastAsia="仿宋"/>
                <w:sz w:val="28"/>
                <w:szCs w:val="28"/>
              </w:rPr>
            </w:pPr>
            <w:r>
              <w:rPr>
                <w:rFonts w:ascii="Times New Roman" w:hAnsi="Times New Roman" w:eastAsia="仿宋"/>
                <w:sz w:val="28"/>
                <w:szCs w:val="28"/>
              </w:rPr>
              <w:t>15.拓展深化“助力小微经营主体发展‘春雨润苗’专项行动”各项服务措施，积极响应小微经营主体诉求，推出更多务实管用的新举措新办法，推进各项税费政策便捷惠及小微经营主体。</w:t>
            </w:r>
          </w:p>
          <w:p w14:paraId="74E375E3">
            <w:pPr>
              <w:adjustRightInd w:val="0"/>
              <w:snapToGrid w:val="0"/>
              <w:spacing w:line="320" w:lineRule="exact"/>
              <w:rPr>
                <w:rFonts w:ascii="Times New Roman" w:hAnsi="Times New Roman" w:eastAsia="仿宋"/>
                <w:sz w:val="28"/>
                <w:szCs w:val="28"/>
              </w:rPr>
            </w:pPr>
            <w:r>
              <w:rPr>
                <w:rFonts w:ascii="Times New Roman" w:hAnsi="Times New Roman" w:eastAsia="仿宋"/>
                <w:sz w:val="28"/>
                <w:szCs w:val="28"/>
              </w:rPr>
              <w:t>16.构建多样化宣传辅导体系，线上依托12366热线、湘税通、电子税务局等平台多渠道开展政策宣传；线下通过举办纳税人学堂、湖南税协公益讲坛等活动多形式开展辅导培训，帮助中小企业更快知晓、更好享受税费优惠，降低经营成本。</w:t>
            </w:r>
          </w:p>
          <w:p w14:paraId="4C8B36B4">
            <w:pPr>
              <w:adjustRightInd w:val="0"/>
              <w:snapToGrid w:val="0"/>
              <w:spacing w:line="320" w:lineRule="exact"/>
              <w:rPr>
                <w:rFonts w:ascii="Times New Roman" w:hAnsi="Times New Roman" w:eastAsia="仿宋"/>
                <w:sz w:val="28"/>
                <w:szCs w:val="28"/>
              </w:rPr>
            </w:pPr>
            <w:r>
              <w:rPr>
                <w:rFonts w:ascii="Times New Roman" w:hAnsi="Times New Roman" w:eastAsia="仿宋"/>
                <w:sz w:val="28"/>
                <w:szCs w:val="28"/>
              </w:rPr>
              <w:t>17.优化精准推送策略，依托税收大数据，推进税费优惠享受、申报纳税提醒、纳税信用变更、涉税风险告知等内容的点对点推送，助力中小企业高质量发展。</w:t>
            </w:r>
          </w:p>
        </w:tc>
      </w:tr>
      <w:tr w14:paraId="1D12A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36" w:hRule="atLeast"/>
          <w:jc w:val="center"/>
        </w:trPr>
        <w:tc>
          <w:tcPr>
            <w:tcW w:w="1470" w:type="dxa"/>
            <w:vMerge w:val="restart"/>
            <w:noWrap w:val="0"/>
            <w:vAlign w:val="center"/>
          </w:tcPr>
          <w:p w14:paraId="39F83C30">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sz w:val="28"/>
                <w:szCs w:val="28"/>
              </w:rPr>
              <w:t>政策惠企</w:t>
            </w:r>
          </w:p>
        </w:tc>
        <w:tc>
          <w:tcPr>
            <w:tcW w:w="1929" w:type="dxa"/>
            <w:noWrap w:val="0"/>
            <w:vAlign w:val="center"/>
          </w:tcPr>
          <w:p w14:paraId="450047F1">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省市场监管局</w:t>
            </w:r>
          </w:p>
        </w:tc>
        <w:tc>
          <w:tcPr>
            <w:tcW w:w="11906" w:type="dxa"/>
            <w:noWrap w:val="0"/>
            <w:vAlign w:val="center"/>
          </w:tcPr>
          <w:p w14:paraId="2758E3D1">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18.持续做实市场监管部门牵头的“高效办成一件事”改革，进一步降低制度性交易成本，提升企业和群众的获得感。</w:t>
            </w:r>
          </w:p>
          <w:p w14:paraId="026C0C3A">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19.实施信用修复“一件事”线上办理，实行信用承诺制度，推动守信激励与失信惩戒机制紧密结合，引导失信中小企业重塑信用、合规经营。</w:t>
            </w:r>
          </w:p>
          <w:p w14:paraId="2D55519D">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20.全面推广运用企业数据填报“一件事”系统，开通“湘易办”APP的企业数据填报“一件事”办事入口，不断提升服务水平，便利经营主体。</w:t>
            </w:r>
          </w:p>
        </w:tc>
      </w:tr>
      <w:tr w14:paraId="09261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atLeast"/>
          <w:jc w:val="center"/>
        </w:trPr>
        <w:tc>
          <w:tcPr>
            <w:tcW w:w="1470" w:type="dxa"/>
            <w:vMerge w:val="continue"/>
            <w:noWrap w:val="0"/>
            <w:vAlign w:val="center"/>
          </w:tcPr>
          <w:p w14:paraId="4CF50FF9">
            <w:pPr>
              <w:adjustRightInd w:val="0"/>
              <w:snapToGrid w:val="0"/>
              <w:spacing w:line="360" w:lineRule="exact"/>
              <w:jc w:val="center"/>
              <w:rPr>
                <w:rFonts w:ascii="Times New Roman" w:hAnsi="Times New Roman" w:eastAsia="仿宋"/>
                <w:color w:val="000000"/>
                <w:kern w:val="0"/>
                <w:sz w:val="28"/>
                <w:szCs w:val="28"/>
                <w:lang w:bidi="ar"/>
              </w:rPr>
            </w:pPr>
          </w:p>
        </w:tc>
        <w:tc>
          <w:tcPr>
            <w:tcW w:w="1929" w:type="dxa"/>
            <w:noWrap w:val="0"/>
            <w:vAlign w:val="center"/>
          </w:tcPr>
          <w:p w14:paraId="13750664">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省工商联</w:t>
            </w:r>
          </w:p>
        </w:tc>
        <w:tc>
          <w:tcPr>
            <w:tcW w:w="11906" w:type="dxa"/>
            <w:noWrap w:val="0"/>
            <w:vAlign w:val="center"/>
          </w:tcPr>
          <w:p w14:paraId="4D8F7623">
            <w:pPr>
              <w:adjustRightInd w:val="0"/>
              <w:snapToGrid w:val="0"/>
              <w:spacing w:line="340" w:lineRule="exact"/>
              <w:rPr>
                <w:rFonts w:ascii="Times New Roman" w:hAnsi="Times New Roman" w:eastAsia="仿宋"/>
                <w:sz w:val="28"/>
                <w:szCs w:val="28"/>
              </w:rPr>
            </w:pPr>
            <w:r>
              <w:rPr>
                <w:rFonts w:ascii="Times New Roman" w:hAnsi="Times New Roman" w:eastAsia="仿宋"/>
                <w:sz w:val="28"/>
                <w:szCs w:val="28"/>
              </w:rPr>
              <w:t>21.持续开展“春雨润苗”行动，积极开展惠企政策宣讲。</w:t>
            </w:r>
          </w:p>
          <w:p w14:paraId="60E0C205">
            <w:pPr>
              <w:adjustRightInd w:val="0"/>
              <w:snapToGrid w:val="0"/>
              <w:spacing w:line="340" w:lineRule="exact"/>
              <w:rPr>
                <w:rFonts w:ascii="Times New Roman" w:hAnsi="Times New Roman" w:eastAsia="仿宋"/>
                <w:sz w:val="28"/>
                <w:szCs w:val="28"/>
              </w:rPr>
            </w:pPr>
            <w:r>
              <w:rPr>
                <w:rFonts w:ascii="Times New Roman" w:hAnsi="Times New Roman" w:eastAsia="仿宋"/>
                <w:sz w:val="28"/>
                <w:szCs w:val="28"/>
              </w:rPr>
              <w:t>22.开展好“进企业、送政策、解难题、促发展”活动。</w:t>
            </w:r>
          </w:p>
        </w:tc>
      </w:tr>
      <w:tr w14:paraId="4A0D2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31" w:hRule="atLeast"/>
          <w:jc w:val="center"/>
        </w:trPr>
        <w:tc>
          <w:tcPr>
            <w:tcW w:w="1470" w:type="dxa"/>
            <w:noWrap w:val="0"/>
            <w:vAlign w:val="center"/>
          </w:tcPr>
          <w:p w14:paraId="6541A45C">
            <w:pPr>
              <w:adjustRightInd w:val="0"/>
              <w:snapToGrid w:val="0"/>
              <w:spacing w:line="360" w:lineRule="exact"/>
              <w:jc w:val="center"/>
              <w:rPr>
                <w:rFonts w:ascii="Times New Roman" w:hAnsi="Times New Roman" w:eastAsia="仿宋"/>
                <w:sz w:val="28"/>
                <w:szCs w:val="28"/>
              </w:rPr>
            </w:pPr>
            <w:r>
              <w:rPr>
                <w:rFonts w:ascii="Times New Roman" w:hAnsi="Times New Roman" w:eastAsia="仿宋"/>
                <w:sz w:val="28"/>
                <w:szCs w:val="28"/>
              </w:rPr>
              <w:t>环境活企</w:t>
            </w:r>
          </w:p>
        </w:tc>
        <w:tc>
          <w:tcPr>
            <w:tcW w:w="1929" w:type="dxa"/>
            <w:noWrap w:val="0"/>
            <w:vAlign w:val="center"/>
          </w:tcPr>
          <w:p w14:paraId="667780CE">
            <w:pPr>
              <w:adjustRightInd w:val="0"/>
              <w:snapToGrid w:val="0"/>
              <w:spacing w:line="360" w:lineRule="exact"/>
              <w:jc w:val="center"/>
              <w:rPr>
                <w:rFonts w:ascii="Times New Roman" w:hAnsi="Times New Roman" w:eastAsia="仿宋"/>
                <w:sz w:val="28"/>
                <w:szCs w:val="28"/>
              </w:rPr>
            </w:pPr>
            <w:r>
              <w:rPr>
                <w:rFonts w:ascii="Times New Roman" w:hAnsi="Times New Roman" w:eastAsia="仿宋"/>
                <w:sz w:val="28"/>
                <w:szCs w:val="28"/>
              </w:rPr>
              <w:t>省工业和信息化厅</w:t>
            </w:r>
          </w:p>
        </w:tc>
        <w:tc>
          <w:tcPr>
            <w:tcW w:w="11906" w:type="dxa"/>
            <w:noWrap w:val="0"/>
            <w:vAlign w:val="center"/>
          </w:tcPr>
          <w:p w14:paraId="1D80A70D">
            <w:pPr>
              <w:tabs>
                <w:tab w:val="left" w:pos="312"/>
              </w:tabs>
              <w:adjustRightInd w:val="0"/>
              <w:snapToGrid w:val="0"/>
              <w:spacing w:line="320" w:lineRule="exact"/>
              <w:rPr>
                <w:rFonts w:ascii="Times New Roman" w:hAnsi="Times New Roman" w:eastAsia="仿宋"/>
                <w:sz w:val="28"/>
                <w:szCs w:val="28"/>
              </w:rPr>
            </w:pPr>
            <w:r>
              <w:rPr>
                <w:rFonts w:ascii="Times New Roman" w:hAnsi="Times New Roman" w:eastAsia="仿宋"/>
                <w:sz w:val="28"/>
                <w:szCs w:val="28"/>
              </w:rPr>
              <w:t>23.抓好中小企业促进“一法一办法”执法检查问题整改，推动《中华人民共和国中小企业促进法》和《湖南省实施&lt;中华人民共和国中小企业促进法&gt;办法》深入施行，切实优化企业发展环境。开展全省中小企业生产经营问卷调查，及时掌握中小企业运行态势，强化分析研判，夯实政策制订与实施基础。</w:t>
            </w:r>
          </w:p>
          <w:p w14:paraId="1B3D01C4">
            <w:pPr>
              <w:tabs>
                <w:tab w:val="left" w:pos="312"/>
              </w:tabs>
              <w:adjustRightInd w:val="0"/>
              <w:snapToGrid w:val="0"/>
              <w:spacing w:line="320" w:lineRule="exact"/>
              <w:rPr>
                <w:rFonts w:ascii="Times New Roman" w:hAnsi="Times New Roman" w:eastAsia="仿宋"/>
                <w:sz w:val="28"/>
                <w:szCs w:val="28"/>
              </w:rPr>
            </w:pPr>
            <w:r>
              <w:rPr>
                <w:rFonts w:ascii="Times New Roman" w:hAnsi="Times New Roman" w:eastAsia="仿宋"/>
                <w:sz w:val="28"/>
                <w:szCs w:val="28"/>
              </w:rPr>
              <w:t>24.依托全省中小企业公共服务平台广泛汇聚各类资源，为中小企业提供找政策、找资金、找机构、找服务、找活动、找专家（人才）服务，解决信息不对称问题。</w:t>
            </w:r>
          </w:p>
          <w:p w14:paraId="01EAF5EF">
            <w:pPr>
              <w:tabs>
                <w:tab w:val="left" w:pos="312"/>
              </w:tabs>
              <w:adjustRightInd w:val="0"/>
              <w:snapToGrid w:val="0"/>
              <w:spacing w:line="320" w:lineRule="exact"/>
              <w:rPr>
                <w:rFonts w:ascii="Times New Roman" w:hAnsi="Times New Roman" w:eastAsia="仿宋"/>
                <w:sz w:val="28"/>
                <w:szCs w:val="28"/>
              </w:rPr>
            </w:pPr>
            <w:r>
              <w:rPr>
                <w:rFonts w:ascii="Times New Roman" w:hAnsi="Times New Roman" w:eastAsia="仿宋"/>
                <w:sz w:val="28"/>
                <w:szCs w:val="28"/>
              </w:rPr>
              <w:t>25.实施“千帆百舸”专精特新中小企业上市培育工程，印发湖南省实施方案，助推10家左右</w:t>
            </w:r>
            <w:bookmarkStart w:id="0" w:name="_GoBack"/>
            <w:bookmarkEnd w:id="0"/>
            <w:r>
              <w:rPr>
                <w:rFonts w:hint="eastAsia" w:ascii="Times New Roman" w:hAnsi="Times New Roman" w:eastAsia="仿宋"/>
                <w:sz w:val="28"/>
                <w:szCs w:val="28"/>
                <w:lang w:eastAsia="zh-CN"/>
              </w:rPr>
              <w:t>专精特新</w:t>
            </w:r>
            <w:r>
              <w:rPr>
                <w:rFonts w:ascii="Times New Roman" w:hAnsi="Times New Roman" w:eastAsia="仿宋"/>
                <w:sz w:val="28"/>
                <w:szCs w:val="28"/>
              </w:rPr>
              <w:t>中小企业挂牌上市。配合建强区域性股权市场</w:t>
            </w:r>
            <w:r>
              <w:rPr>
                <w:rFonts w:hint="eastAsia" w:ascii="Times New Roman" w:hAnsi="Times New Roman" w:eastAsia="仿宋"/>
                <w:sz w:val="28"/>
                <w:szCs w:val="28"/>
                <w:lang w:eastAsia="zh-CN"/>
              </w:rPr>
              <w:t>专精特新</w:t>
            </w:r>
            <w:r>
              <w:rPr>
                <w:rFonts w:ascii="Times New Roman" w:hAnsi="Times New Roman" w:eastAsia="仿宋"/>
                <w:sz w:val="28"/>
                <w:szCs w:val="28"/>
              </w:rPr>
              <w:t>专板，完善挂牌企业数据库，推动中小企业挂牌。</w:t>
            </w:r>
          </w:p>
          <w:p w14:paraId="0BAE17E5">
            <w:pPr>
              <w:tabs>
                <w:tab w:val="left" w:pos="312"/>
              </w:tabs>
              <w:adjustRightInd w:val="0"/>
              <w:snapToGrid w:val="0"/>
              <w:spacing w:line="320" w:lineRule="exact"/>
              <w:rPr>
                <w:rFonts w:ascii="Times New Roman" w:hAnsi="Times New Roman" w:eastAsia="仿宋"/>
                <w:sz w:val="28"/>
                <w:szCs w:val="28"/>
              </w:rPr>
            </w:pPr>
            <w:r>
              <w:rPr>
                <w:rFonts w:ascii="Times New Roman" w:hAnsi="Times New Roman" w:eastAsia="仿宋"/>
                <w:sz w:val="28"/>
                <w:szCs w:val="28"/>
              </w:rPr>
              <w:t>26.完善省专精特新中小企业股权融资服务平台功能，新选20家专精特新企业重点投资机构，深入开展特色服务，促进产投双方精准高效对接。</w:t>
            </w:r>
          </w:p>
          <w:p w14:paraId="31C7C4DB">
            <w:pPr>
              <w:tabs>
                <w:tab w:val="left" w:pos="312"/>
              </w:tabs>
              <w:adjustRightInd w:val="0"/>
              <w:snapToGrid w:val="0"/>
              <w:spacing w:line="320" w:lineRule="exact"/>
              <w:rPr>
                <w:rFonts w:ascii="Times New Roman" w:hAnsi="Times New Roman" w:eastAsia="仿宋"/>
                <w:sz w:val="28"/>
                <w:szCs w:val="28"/>
              </w:rPr>
            </w:pPr>
            <w:r>
              <w:rPr>
                <w:rFonts w:ascii="Times New Roman" w:hAnsi="Times New Roman" w:eastAsia="仿宋"/>
                <w:sz w:val="28"/>
                <w:szCs w:val="28"/>
              </w:rPr>
              <w:t>27.持续深化产业开放合作，高规格高标准办好“2025中国产业转移发展对接活动</w:t>
            </w:r>
            <w:r>
              <w:rPr>
                <w:rFonts w:hint="eastAsia" w:ascii="Times New Roman" w:hAnsi="Times New Roman" w:eastAsia="仿宋"/>
                <w:sz w:val="28"/>
                <w:szCs w:val="28"/>
              </w:rPr>
              <w:t>（湖南）</w:t>
            </w:r>
            <w:r>
              <w:rPr>
                <w:rFonts w:ascii="Times New Roman" w:hAnsi="Times New Roman" w:eastAsia="仿宋"/>
                <w:sz w:val="28"/>
                <w:szCs w:val="28"/>
              </w:rPr>
              <w:t>”。组织企业参加第二十届中国国际中小企业博览会等展会，协助做好APEC中国年相关工作，帮助企业开拓市场。</w:t>
            </w:r>
          </w:p>
        </w:tc>
      </w:tr>
      <w:tr w14:paraId="2F020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43" w:hRule="atLeast"/>
          <w:jc w:val="center"/>
        </w:trPr>
        <w:tc>
          <w:tcPr>
            <w:tcW w:w="1470" w:type="dxa"/>
            <w:vMerge w:val="restart"/>
            <w:noWrap w:val="0"/>
            <w:vAlign w:val="center"/>
          </w:tcPr>
          <w:p w14:paraId="2353F815">
            <w:pPr>
              <w:adjustRightInd w:val="0"/>
              <w:snapToGrid w:val="0"/>
              <w:spacing w:line="360" w:lineRule="exact"/>
              <w:jc w:val="center"/>
              <w:rPr>
                <w:rFonts w:ascii="Times New Roman" w:hAnsi="Times New Roman" w:eastAsia="仿宋"/>
                <w:color w:val="000000"/>
                <w:kern w:val="0"/>
                <w:sz w:val="28"/>
                <w:szCs w:val="28"/>
                <w:highlight w:val="yellow"/>
                <w:lang w:bidi="ar"/>
              </w:rPr>
            </w:pPr>
            <w:r>
              <w:rPr>
                <w:rFonts w:ascii="Times New Roman" w:hAnsi="Times New Roman" w:eastAsia="仿宋"/>
                <w:sz w:val="28"/>
                <w:szCs w:val="28"/>
              </w:rPr>
              <w:t>环境活企</w:t>
            </w:r>
          </w:p>
        </w:tc>
        <w:tc>
          <w:tcPr>
            <w:tcW w:w="1929" w:type="dxa"/>
            <w:noWrap w:val="0"/>
            <w:vAlign w:val="center"/>
          </w:tcPr>
          <w:p w14:paraId="5DB0B719">
            <w:pPr>
              <w:tabs>
                <w:tab w:val="left" w:pos="312"/>
              </w:tabs>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省发展改革委</w:t>
            </w:r>
          </w:p>
        </w:tc>
        <w:tc>
          <w:tcPr>
            <w:tcW w:w="11906" w:type="dxa"/>
            <w:noWrap w:val="0"/>
            <w:vAlign w:val="center"/>
          </w:tcPr>
          <w:p w14:paraId="5CE77DA7">
            <w:pPr>
              <w:adjustRightInd w:val="0"/>
              <w:snapToGrid w:val="0"/>
              <w:spacing w:line="340" w:lineRule="exact"/>
              <w:rPr>
                <w:rFonts w:ascii="Times New Roman" w:hAnsi="Times New Roman" w:eastAsia="仿宋"/>
                <w:sz w:val="28"/>
                <w:szCs w:val="28"/>
              </w:rPr>
            </w:pPr>
            <w:r>
              <w:rPr>
                <w:rFonts w:ascii="Times New Roman" w:hAnsi="Times New Roman" w:eastAsia="仿宋"/>
                <w:sz w:val="28"/>
                <w:szCs w:val="28"/>
              </w:rPr>
              <w:t>28.深化支持小微企业融资协调工作机制，进一步发挥“湘信贷”平台企业融资服务“总窗口”作用，优化平台服务，加强涉企信用信息归集，推动与银行系统直连，提升中小微企业融资便利度。</w:t>
            </w:r>
          </w:p>
          <w:p w14:paraId="77047353">
            <w:pPr>
              <w:adjustRightInd w:val="0"/>
              <w:snapToGrid w:val="0"/>
              <w:spacing w:line="340" w:lineRule="exact"/>
              <w:rPr>
                <w:rFonts w:ascii="Times New Roman" w:hAnsi="Times New Roman"/>
              </w:rPr>
            </w:pPr>
            <w:r>
              <w:rPr>
                <w:rFonts w:ascii="Times New Roman" w:hAnsi="Times New Roman" w:eastAsia="仿宋"/>
                <w:sz w:val="28"/>
                <w:szCs w:val="28"/>
              </w:rPr>
              <w:t>29.总结推广市县民营经济发展典型经验，力争在国家发改委或中央媒体宣传推介，树立一批标杆，形成示范带动效应。建立高规格的政企常态化沟通机制，形成“一站式”问题解决模式。</w:t>
            </w:r>
          </w:p>
        </w:tc>
      </w:tr>
      <w:tr w14:paraId="7DF04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atLeast"/>
          <w:jc w:val="center"/>
        </w:trPr>
        <w:tc>
          <w:tcPr>
            <w:tcW w:w="1470" w:type="dxa"/>
            <w:vMerge w:val="continue"/>
            <w:noWrap w:val="0"/>
            <w:vAlign w:val="center"/>
          </w:tcPr>
          <w:p w14:paraId="57B8CABF">
            <w:pPr>
              <w:adjustRightInd w:val="0"/>
              <w:snapToGrid w:val="0"/>
              <w:spacing w:line="360" w:lineRule="exact"/>
              <w:jc w:val="center"/>
              <w:rPr>
                <w:rFonts w:ascii="Times New Roman" w:hAnsi="Times New Roman" w:eastAsia="仿宋"/>
                <w:color w:val="000000"/>
                <w:kern w:val="0"/>
                <w:sz w:val="28"/>
                <w:szCs w:val="28"/>
                <w:lang w:bidi="ar"/>
              </w:rPr>
            </w:pPr>
          </w:p>
        </w:tc>
        <w:tc>
          <w:tcPr>
            <w:tcW w:w="1929" w:type="dxa"/>
            <w:noWrap w:val="0"/>
            <w:vAlign w:val="center"/>
          </w:tcPr>
          <w:p w14:paraId="564B1E6F">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省农业农村厅</w:t>
            </w:r>
          </w:p>
        </w:tc>
        <w:tc>
          <w:tcPr>
            <w:tcW w:w="11906" w:type="dxa"/>
            <w:noWrap w:val="0"/>
            <w:vAlign w:val="center"/>
          </w:tcPr>
          <w:p w14:paraId="580481F4">
            <w:pPr>
              <w:adjustRightInd w:val="0"/>
              <w:snapToGrid w:val="0"/>
              <w:spacing w:line="340" w:lineRule="exact"/>
              <w:rPr>
                <w:rFonts w:ascii="Times New Roman" w:hAnsi="Times New Roman" w:eastAsia="仿宋"/>
                <w:sz w:val="28"/>
                <w:szCs w:val="28"/>
              </w:rPr>
            </w:pPr>
            <w:r>
              <w:rPr>
                <w:rFonts w:ascii="Times New Roman" w:hAnsi="Times New Roman" w:eastAsia="仿宋"/>
                <w:sz w:val="28"/>
                <w:szCs w:val="28"/>
              </w:rPr>
              <w:t>30.培育壮大农业产业化龙头企业，组织推荐申报国家重点龙头企业15家左右。</w:t>
            </w:r>
          </w:p>
          <w:p w14:paraId="50C03969">
            <w:pPr>
              <w:adjustRightInd w:val="0"/>
              <w:snapToGrid w:val="0"/>
              <w:spacing w:line="340" w:lineRule="exact"/>
              <w:rPr>
                <w:rFonts w:ascii="Times New Roman" w:hAnsi="Times New Roman" w:eastAsia="仿宋"/>
                <w:sz w:val="28"/>
                <w:szCs w:val="28"/>
              </w:rPr>
            </w:pPr>
            <w:r>
              <w:rPr>
                <w:rFonts w:ascii="Times New Roman" w:hAnsi="Times New Roman" w:eastAsia="仿宋"/>
                <w:sz w:val="28"/>
                <w:szCs w:val="28"/>
              </w:rPr>
              <w:t>31.组织龙头企业“走出去”，积极参加展示展销活动。</w:t>
            </w:r>
          </w:p>
        </w:tc>
      </w:tr>
      <w:tr w14:paraId="14682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atLeast"/>
          <w:jc w:val="center"/>
        </w:trPr>
        <w:tc>
          <w:tcPr>
            <w:tcW w:w="1470" w:type="dxa"/>
            <w:vMerge w:val="continue"/>
            <w:noWrap w:val="0"/>
            <w:vAlign w:val="center"/>
          </w:tcPr>
          <w:p w14:paraId="7DD19466">
            <w:pPr>
              <w:adjustRightInd w:val="0"/>
              <w:snapToGrid w:val="0"/>
              <w:spacing w:line="360" w:lineRule="exact"/>
              <w:jc w:val="center"/>
              <w:rPr>
                <w:rFonts w:ascii="Times New Roman" w:hAnsi="Times New Roman" w:eastAsia="仿宋"/>
                <w:color w:val="000000"/>
                <w:kern w:val="0"/>
                <w:sz w:val="28"/>
                <w:szCs w:val="28"/>
                <w:lang w:bidi="ar"/>
              </w:rPr>
            </w:pPr>
          </w:p>
        </w:tc>
        <w:tc>
          <w:tcPr>
            <w:tcW w:w="1929" w:type="dxa"/>
            <w:noWrap w:val="0"/>
            <w:vAlign w:val="center"/>
          </w:tcPr>
          <w:p w14:paraId="788C234C">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省商务厅</w:t>
            </w:r>
          </w:p>
        </w:tc>
        <w:tc>
          <w:tcPr>
            <w:tcW w:w="11906" w:type="dxa"/>
            <w:noWrap w:val="0"/>
            <w:vAlign w:val="center"/>
          </w:tcPr>
          <w:p w14:paraId="7FDD9A1C">
            <w:pPr>
              <w:pStyle w:val="5"/>
              <w:adjustRightInd w:val="0"/>
              <w:snapToGrid w:val="0"/>
              <w:spacing w:after="0" w:line="340" w:lineRule="exact"/>
              <w:ind w:left="0" w:leftChars="0" w:firstLine="0" w:firstLineChars="0"/>
              <w:rPr>
                <w:rFonts w:ascii="Times New Roman" w:hAnsi="Times New Roman" w:eastAsia="仿宋"/>
                <w:sz w:val="28"/>
                <w:szCs w:val="28"/>
              </w:rPr>
            </w:pPr>
            <w:r>
              <w:rPr>
                <w:rFonts w:ascii="Times New Roman" w:hAnsi="Times New Roman" w:eastAsia="仿宋"/>
                <w:sz w:val="28"/>
                <w:szCs w:val="28"/>
              </w:rPr>
              <w:t>32.加大对境外湖南商协会建设发展的支持力度，扩大商会备案覆盖面，启用“湘商会”APP，强化安全保障，防范化解各类风险，做好对湖南境外企业的指导、协调和服务。</w:t>
            </w:r>
          </w:p>
        </w:tc>
      </w:tr>
      <w:tr w14:paraId="6FDE8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atLeast"/>
          <w:jc w:val="center"/>
        </w:trPr>
        <w:tc>
          <w:tcPr>
            <w:tcW w:w="1470" w:type="dxa"/>
            <w:vMerge w:val="continue"/>
            <w:noWrap w:val="0"/>
            <w:vAlign w:val="center"/>
          </w:tcPr>
          <w:p w14:paraId="46F96A40">
            <w:pPr>
              <w:adjustRightInd w:val="0"/>
              <w:snapToGrid w:val="0"/>
              <w:spacing w:line="360" w:lineRule="exact"/>
              <w:jc w:val="center"/>
              <w:rPr>
                <w:rFonts w:ascii="Times New Roman" w:hAnsi="Times New Roman" w:eastAsia="仿宋"/>
                <w:color w:val="000000"/>
                <w:kern w:val="0"/>
                <w:sz w:val="28"/>
                <w:szCs w:val="28"/>
                <w:lang w:bidi="ar"/>
              </w:rPr>
            </w:pPr>
          </w:p>
        </w:tc>
        <w:tc>
          <w:tcPr>
            <w:tcW w:w="1929" w:type="dxa"/>
            <w:noWrap w:val="0"/>
            <w:vAlign w:val="center"/>
          </w:tcPr>
          <w:p w14:paraId="41BB3A23">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省文化和</w:t>
            </w:r>
          </w:p>
          <w:p w14:paraId="07EEE410">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旅游厅</w:t>
            </w:r>
          </w:p>
        </w:tc>
        <w:tc>
          <w:tcPr>
            <w:tcW w:w="11906" w:type="dxa"/>
            <w:noWrap w:val="0"/>
            <w:vAlign w:val="center"/>
          </w:tcPr>
          <w:p w14:paraId="5ED2030A">
            <w:pPr>
              <w:adjustRightInd w:val="0"/>
              <w:snapToGrid w:val="0"/>
              <w:spacing w:line="340" w:lineRule="exact"/>
              <w:rPr>
                <w:rFonts w:ascii="Times New Roman" w:hAnsi="Times New Roman" w:eastAsia="仿宋"/>
                <w:sz w:val="28"/>
                <w:szCs w:val="28"/>
              </w:rPr>
            </w:pPr>
            <w:r>
              <w:rPr>
                <w:rFonts w:ascii="Times New Roman" w:hAnsi="Times New Roman" w:eastAsia="仿宋"/>
                <w:sz w:val="28"/>
                <w:szCs w:val="28"/>
              </w:rPr>
              <w:t>33.提振实施消费专项行动，开展“潮起潇湘 相约湖南”系列文化和旅游消费季活动，持续激发文化和旅游消费活力，助力中小文化和旅游企业拓展市场。</w:t>
            </w:r>
          </w:p>
        </w:tc>
      </w:tr>
      <w:tr w14:paraId="17204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atLeast"/>
          <w:jc w:val="center"/>
        </w:trPr>
        <w:tc>
          <w:tcPr>
            <w:tcW w:w="1470" w:type="dxa"/>
            <w:vMerge w:val="continue"/>
            <w:noWrap w:val="0"/>
            <w:vAlign w:val="center"/>
          </w:tcPr>
          <w:p w14:paraId="4A2258FE">
            <w:pPr>
              <w:adjustRightInd w:val="0"/>
              <w:snapToGrid w:val="0"/>
              <w:spacing w:line="360" w:lineRule="exact"/>
              <w:jc w:val="center"/>
              <w:rPr>
                <w:rFonts w:ascii="Times New Roman" w:hAnsi="Times New Roman" w:eastAsia="仿宋"/>
                <w:color w:val="000000"/>
                <w:kern w:val="0"/>
                <w:sz w:val="28"/>
                <w:szCs w:val="28"/>
                <w:lang w:bidi="ar"/>
              </w:rPr>
            </w:pPr>
          </w:p>
        </w:tc>
        <w:tc>
          <w:tcPr>
            <w:tcW w:w="1929" w:type="dxa"/>
            <w:noWrap w:val="0"/>
            <w:vAlign w:val="center"/>
          </w:tcPr>
          <w:p w14:paraId="43AB14DA">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省退役军人</w:t>
            </w:r>
          </w:p>
          <w:p w14:paraId="1BFC9503">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事务厅</w:t>
            </w:r>
          </w:p>
        </w:tc>
        <w:tc>
          <w:tcPr>
            <w:tcW w:w="11906" w:type="dxa"/>
            <w:noWrap w:val="0"/>
            <w:vAlign w:val="center"/>
          </w:tcPr>
          <w:p w14:paraId="636C2FCA">
            <w:pPr>
              <w:adjustRightInd w:val="0"/>
              <w:snapToGrid w:val="0"/>
              <w:spacing w:line="340" w:lineRule="exact"/>
              <w:rPr>
                <w:rFonts w:ascii="Times New Roman" w:hAnsi="Times New Roman" w:eastAsia="仿宋"/>
                <w:sz w:val="28"/>
                <w:szCs w:val="28"/>
              </w:rPr>
            </w:pPr>
            <w:r>
              <w:rPr>
                <w:rFonts w:ascii="Times New Roman" w:hAnsi="Times New Roman" w:eastAsia="仿宋"/>
                <w:sz w:val="28"/>
                <w:szCs w:val="28"/>
              </w:rPr>
              <w:t>34.协调《湖南日报》、红网等官方媒体开设“退役军人创业创新专栏”，全方位、全时段对参加创业创新大赛、荣登“光荣榜”等典型进行宣传推介，持续扩大军创企业影响力，营造广泛关心、支持和参与退役军人创业创新的良好氛围。</w:t>
            </w:r>
          </w:p>
        </w:tc>
      </w:tr>
      <w:tr w14:paraId="03734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07" w:hRule="atLeast"/>
          <w:jc w:val="center"/>
        </w:trPr>
        <w:tc>
          <w:tcPr>
            <w:tcW w:w="1470" w:type="dxa"/>
            <w:vMerge w:val="continue"/>
            <w:noWrap w:val="0"/>
            <w:vAlign w:val="center"/>
          </w:tcPr>
          <w:p w14:paraId="5A7253CF">
            <w:pPr>
              <w:adjustRightInd w:val="0"/>
              <w:snapToGrid w:val="0"/>
              <w:spacing w:line="360" w:lineRule="exact"/>
              <w:jc w:val="center"/>
              <w:rPr>
                <w:rFonts w:ascii="Times New Roman" w:hAnsi="Times New Roman" w:eastAsia="仿宋"/>
                <w:color w:val="000000"/>
                <w:kern w:val="0"/>
                <w:sz w:val="28"/>
                <w:szCs w:val="28"/>
                <w:highlight w:val="yellow"/>
                <w:lang w:bidi="ar"/>
              </w:rPr>
            </w:pPr>
          </w:p>
        </w:tc>
        <w:tc>
          <w:tcPr>
            <w:tcW w:w="1929" w:type="dxa"/>
            <w:noWrap w:val="0"/>
            <w:vAlign w:val="center"/>
          </w:tcPr>
          <w:p w14:paraId="0BC4E846">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省税务局</w:t>
            </w:r>
          </w:p>
        </w:tc>
        <w:tc>
          <w:tcPr>
            <w:tcW w:w="11906" w:type="dxa"/>
            <w:noWrap w:val="0"/>
            <w:vAlign w:val="center"/>
          </w:tcPr>
          <w:p w14:paraId="4632EE8F">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35.持续完善“银税互动”机制，进一步加强税、企、银三方合作，将纳税信用转化为融资信用，帮助中小企业拓宽融资渠道、缓解融资难题。</w:t>
            </w:r>
          </w:p>
          <w:p w14:paraId="1F68AB91">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3</w:t>
            </w:r>
            <w:r>
              <w:rPr>
                <w:rFonts w:hint="eastAsia" w:ascii="Times New Roman" w:hAnsi="Times New Roman" w:eastAsia="仿宋"/>
                <w:sz w:val="28"/>
                <w:szCs w:val="28"/>
              </w:rPr>
              <w:t>6</w:t>
            </w:r>
            <w:r>
              <w:rPr>
                <w:rFonts w:ascii="Times New Roman" w:hAnsi="Times New Roman" w:eastAsia="仿宋"/>
                <w:sz w:val="28"/>
                <w:szCs w:val="28"/>
              </w:rPr>
              <w:t>.健全“税企面对面”常态化交流机制，畅通整合线上线下税费诉求渠道，形成诉求分析和改进反馈管理闭环，及时了解办理企业热点难点税费诉求。</w:t>
            </w:r>
          </w:p>
          <w:p w14:paraId="1FD71FC7">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37.统筹推动办税服务厅和12366热线一体化转型升级，进一步推进“办问协同”服务，更好满足企业“就近办”“跨域办”“随时办”需求。</w:t>
            </w:r>
          </w:p>
        </w:tc>
      </w:tr>
      <w:tr w14:paraId="1D245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62" w:hRule="atLeast"/>
          <w:jc w:val="center"/>
        </w:trPr>
        <w:tc>
          <w:tcPr>
            <w:tcW w:w="1470" w:type="dxa"/>
            <w:vMerge w:val="restart"/>
            <w:noWrap w:val="0"/>
            <w:vAlign w:val="center"/>
          </w:tcPr>
          <w:p w14:paraId="2FE3D319">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sz w:val="28"/>
                <w:szCs w:val="28"/>
              </w:rPr>
              <w:t>环境活企</w:t>
            </w:r>
          </w:p>
        </w:tc>
        <w:tc>
          <w:tcPr>
            <w:tcW w:w="1929" w:type="dxa"/>
            <w:noWrap w:val="0"/>
            <w:vAlign w:val="center"/>
          </w:tcPr>
          <w:p w14:paraId="27DBFBA9">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国家金融</w:t>
            </w:r>
          </w:p>
          <w:p w14:paraId="135F3318">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监督管理总局湖南监管局</w:t>
            </w:r>
          </w:p>
        </w:tc>
        <w:tc>
          <w:tcPr>
            <w:tcW w:w="11906" w:type="dxa"/>
            <w:noWrap w:val="0"/>
            <w:vAlign w:val="center"/>
          </w:tcPr>
          <w:p w14:paraId="33A6186D">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38</w:t>
            </w:r>
            <w:r>
              <w:rPr>
                <w:rFonts w:hint="eastAsia" w:ascii="Times New Roman" w:hAnsi="Times New Roman" w:eastAsia="仿宋"/>
                <w:sz w:val="28"/>
                <w:szCs w:val="28"/>
              </w:rPr>
              <w:t>.</w:t>
            </w:r>
            <w:r>
              <w:rPr>
                <w:rFonts w:ascii="Times New Roman" w:hAnsi="Times New Roman" w:eastAsia="仿宋"/>
                <w:sz w:val="28"/>
                <w:szCs w:val="28"/>
              </w:rPr>
              <w:t>开展2024年度小微企业金融服务监管评价，指导银行机构通过单列信贷计划、绩效考核倾斜等方式，加大普惠型小微企业信贷投放力度，扩大小微企业首贷、信用贷、中长期贷款规模。</w:t>
            </w:r>
          </w:p>
          <w:p w14:paraId="19390AF9">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39.巩固支持小微企业融资协调机制工作成果，完善常态化政银企对接机制，联动行业主管部门加强对小微企业融资需求的摸排和名单推荐，引导银行机构加大融资对接力度。</w:t>
            </w:r>
          </w:p>
          <w:p w14:paraId="7A9C9B5B">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40.落实普惠信贷尽职免责政策，督促银行机构修订完善内部实施细则，建立“尽职免责清单”，细化免责情形，定期有效开展尽职免责工作，激发基层业务人员敢贷愿贷积极性。</w:t>
            </w:r>
          </w:p>
        </w:tc>
      </w:tr>
      <w:tr w14:paraId="588CF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95" w:hRule="atLeast"/>
          <w:jc w:val="center"/>
        </w:trPr>
        <w:tc>
          <w:tcPr>
            <w:tcW w:w="1470" w:type="dxa"/>
            <w:vMerge w:val="continue"/>
            <w:noWrap w:val="0"/>
            <w:vAlign w:val="center"/>
          </w:tcPr>
          <w:p w14:paraId="454595C0">
            <w:pPr>
              <w:adjustRightInd w:val="0"/>
              <w:snapToGrid w:val="0"/>
              <w:spacing w:line="360" w:lineRule="exact"/>
              <w:jc w:val="center"/>
              <w:rPr>
                <w:rFonts w:ascii="Times New Roman" w:hAnsi="Times New Roman" w:eastAsia="仿宋"/>
                <w:color w:val="000000"/>
                <w:kern w:val="0"/>
                <w:sz w:val="28"/>
                <w:szCs w:val="28"/>
                <w:lang w:bidi="ar"/>
              </w:rPr>
            </w:pPr>
          </w:p>
        </w:tc>
        <w:tc>
          <w:tcPr>
            <w:tcW w:w="1929" w:type="dxa"/>
            <w:noWrap w:val="0"/>
            <w:vAlign w:val="center"/>
          </w:tcPr>
          <w:p w14:paraId="1F6178BF">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湖南证监局</w:t>
            </w:r>
          </w:p>
        </w:tc>
        <w:tc>
          <w:tcPr>
            <w:tcW w:w="11906" w:type="dxa"/>
            <w:noWrap w:val="0"/>
            <w:vAlign w:val="center"/>
          </w:tcPr>
          <w:p w14:paraId="4E1F3554">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41.强化宣传培训和市场培育。联合科创板中部培育中心、北交所湖南基地开展宣传培训、调研走访，多维度广泛筛选和培育后备企业，共同营造资本市场服务实体经济的良好氛围。</w:t>
            </w:r>
          </w:p>
          <w:p w14:paraId="592C307D">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42.深入落实国务院办公厅《促进创业投资高质量发展的若干政策措施》，推动出台全省支持创业投资政策举措，引导私募基金投早、投长期、投硬科技，促进“募投管退”良性循环。支持湖南股交所申报区域股权试点，推动试点举措在湖南落实落地。</w:t>
            </w:r>
          </w:p>
          <w:p w14:paraId="1491F285">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43.鼓励符合条件的中小企业发行绿色债券、科技创新债券、知识产权资产支持证券等创新品种融资。大力推广科技创新债券，优先重点支持高新技术和战略性新兴产业领域中小企业债券融资。</w:t>
            </w:r>
          </w:p>
        </w:tc>
      </w:tr>
      <w:tr w14:paraId="4603C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67" w:hRule="atLeast"/>
          <w:jc w:val="center"/>
        </w:trPr>
        <w:tc>
          <w:tcPr>
            <w:tcW w:w="1470" w:type="dxa"/>
            <w:vMerge w:val="restart"/>
            <w:noWrap w:val="0"/>
            <w:vAlign w:val="center"/>
          </w:tcPr>
          <w:p w14:paraId="2D7B2D13">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sz w:val="28"/>
                <w:szCs w:val="28"/>
              </w:rPr>
              <w:t>创新强企</w:t>
            </w:r>
          </w:p>
        </w:tc>
        <w:tc>
          <w:tcPr>
            <w:tcW w:w="1929" w:type="dxa"/>
            <w:noWrap w:val="0"/>
            <w:vAlign w:val="center"/>
          </w:tcPr>
          <w:p w14:paraId="76428434">
            <w:pPr>
              <w:adjustRightInd w:val="0"/>
              <w:snapToGrid w:val="0"/>
              <w:spacing w:line="360" w:lineRule="exact"/>
              <w:jc w:val="center"/>
              <w:rPr>
                <w:rFonts w:ascii="Times New Roman" w:hAnsi="Times New Roman" w:eastAsia="仿宋"/>
                <w:sz w:val="28"/>
                <w:szCs w:val="28"/>
              </w:rPr>
            </w:pPr>
            <w:r>
              <w:rPr>
                <w:rFonts w:ascii="Times New Roman" w:hAnsi="Times New Roman" w:eastAsia="仿宋"/>
                <w:sz w:val="28"/>
                <w:szCs w:val="28"/>
              </w:rPr>
              <w:t>省工业和信息化厅</w:t>
            </w:r>
          </w:p>
        </w:tc>
        <w:tc>
          <w:tcPr>
            <w:tcW w:w="11906" w:type="dxa"/>
            <w:noWrap w:val="0"/>
            <w:vAlign w:val="center"/>
          </w:tcPr>
          <w:p w14:paraId="0D326988">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44.联合市县加强创新型中小企业、专精特新中小企业、专精特新“小巨人”企业梯度培育，建立专精特新中小企业培育赋能体系，促进专精特新企业发展壮大。</w:t>
            </w:r>
          </w:p>
          <w:p w14:paraId="7E650E1E">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45.开展“百场万企”对接、科技成果赋智中小企业等主题活动，推动大中小企业融通创新。</w:t>
            </w:r>
          </w:p>
          <w:p w14:paraId="6D71715F">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46.完善科技成果转化支撑体系，认定10家左右省级制造业创新中心、3-5家计算产业生态创新中心，建设20家左右制造业中试平台。</w:t>
            </w:r>
          </w:p>
          <w:p w14:paraId="5EF2DDBD">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47.深入实施制造业卓越质量工程，指导企业开展质量管理能力评价。组织开展质量标杆交流活动，培育认定80家左右制造业质量标杆企业。</w:t>
            </w:r>
          </w:p>
          <w:p w14:paraId="3077D2B2">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48.加强工业设计中心培育，开展“工业设计进园区”和“工业设计助力乡村振兴”对接活动，促进工业设计与制造业深度融合。</w:t>
            </w:r>
          </w:p>
          <w:p w14:paraId="6060E571">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49.开展“智赋万企”“人工智能＋”行动，分行业分地区推动企业智能化改造升级，推动一批企业上云</w:t>
            </w:r>
            <w:r>
              <w:rPr>
                <w:rFonts w:hint="eastAsia" w:ascii="Times New Roman" w:hAnsi="Times New Roman" w:eastAsia="仿宋"/>
                <w:sz w:val="28"/>
                <w:szCs w:val="28"/>
              </w:rPr>
              <w:t>、</w:t>
            </w:r>
            <w:r>
              <w:rPr>
                <w:rFonts w:ascii="Times New Roman" w:hAnsi="Times New Roman" w:eastAsia="仿宋"/>
                <w:sz w:val="28"/>
                <w:szCs w:val="28"/>
              </w:rPr>
              <w:t>上平台。纵深推进中小企业数字化赋能专项行动，指导长沙、株洲、娄底做好数字化转型试点工作，发挥示范带动作用。建设中小企业数字化转型公共服务平台，引导服务商研发推广“小快轻准”数字化产品和解决方案。</w:t>
            </w:r>
          </w:p>
        </w:tc>
      </w:tr>
      <w:tr w14:paraId="0A486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38" w:hRule="atLeast"/>
          <w:jc w:val="center"/>
        </w:trPr>
        <w:tc>
          <w:tcPr>
            <w:tcW w:w="1470" w:type="dxa"/>
            <w:vMerge w:val="continue"/>
            <w:noWrap w:val="0"/>
            <w:vAlign w:val="center"/>
          </w:tcPr>
          <w:p w14:paraId="26C84EDE">
            <w:pPr>
              <w:adjustRightInd w:val="0"/>
              <w:snapToGrid w:val="0"/>
              <w:spacing w:line="360" w:lineRule="exact"/>
              <w:jc w:val="center"/>
              <w:rPr>
                <w:rFonts w:ascii="Times New Roman" w:hAnsi="Times New Roman" w:eastAsia="仿宋"/>
                <w:color w:val="000000"/>
                <w:kern w:val="0"/>
                <w:sz w:val="28"/>
                <w:szCs w:val="28"/>
                <w:lang w:bidi="ar"/>
              </w:rPr>
            </w:pPr>
          </w:p>
        </w:tc>
        <w:tc>
          <w:tcPr>
            <w:tcW w:w="1929" w:type="dxa"/>
            <w:noWrap w:val="0"/>
            <w:vAlign w:val="center"/>
          </w:tcPr>
          <w:p w14:paraId="47C572C5">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长沙海关</w:t>
            </w:r>
          </w:p>
        </w:tc>
        <w:tc>
          <w:tcPr>
            <w:tcW w:w="11906" w:type="dxa"/>
            <w:noWrap w:val="0"/>
            <w:vAlign w:val="center"/>
          </w:tcPr>
          <w:p w14:paraId="4C8B1515">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50.发挥（长沙）中非和植物提取物技术性贸易措施研究评议基地作用，加强对各类技术性贸易措施信息的收集，结合湖南省重点行业企业特点和需求，开展技术性贸易措施分析研究和咨询服务。</w:t>
            </w:r>
          </w:p>
        </w:tc>
      </w:tr>
      <w:tr w14:paraId="4B513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43" w:hRule="atLeast"/>
          <w:jc w:val="center"/>
        </w:trPr>
        <w:tc>
          <w:tcPr>
            <w:tcW w:w="1470" w:type="dxa"/>
            <w:vMerge w:val="restart"/>
            <w:noWrap w:val="0"/>
            <w:vAlign w:val="center"/>
          </w:tcPr>
          <w:p w14:paraId="2C28BE75">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sz w:val="28"/>
                <w:szCs w:val="28"/>
              </w:rPr>
              <w:t>创新强企</w:t>
            </w:r>
          </w:p>
        </w:tc>
        <w:tc>
          <w:tcPr>
            <w:tcW w:w="1929" w:type="dxa"/>
            <w:noWrap w:val="0"/>
            <w:vAlign w:val="center"/>
          </w:tcPr>
          <w:p w14:paraId="4427740F">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省市场监管局</w:t>
            </w:r>
          </w:p>
        </w:tc>
        <w:tc>
          <w:tcPr>
            <w:tcW w:w="11906" w:type="dxa"/>
            <w:noWrap w:val="0"/>
            <w:vAlign w:val="center"/>
          </w:tcPr>
          <w:p w14:paraId="19110FCA">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51.持续开展质量技术帮扶“提质强企”行动，促进中小企业提升产品质量管理水平。</w:t>
            </w:r>
          </w:p>
          <w:p w14:paraId="196B649C">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52.持续开展计量服务中小企业行活动，推动中小企业计量伙伴计划落地落实，积极帮助企业提升计量能力和水平。</w:t>
            </w:r>
          </w:p>
          <w:p w14:paraId="03B7B51D">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53.加快推进商标品牌建设，建立湖南省重点商标名录，将重点商标名单纳入企业登记系统，实行商标与企业名称的联动保护，加强重点商标注册监测预警，定期发布监测报告及预警通知；建立重点商标服务“直通车”机制，对重点商标企业商标工作存在的问题提供重点指导和个性化服务；对重点商标企业推进商标品牌建设成效显著，为带动就业、增加税收、促进地方经济发展作出突出贡献的，在知识产权战略专项资金安排上予以支持。</w:t>
            </w:r>
          </w:p>
          <w:p w14:paraId="7B980C1E">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54.加强全省商标受理窗口、商标品牌指导站、园区知识产权综合服务中心建设，进一步丰富服务内容，提升服务能力，推进知识产权公共服务标准化、规范化、便利化。</w:t>
            </w:r>
          </w:p>
          <w:p w14:paraId="707F1D74">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55.加大对专利产业化样板企业培育库入库企业支持力度，加强对专利密集型产品的培育和推广。分产业领域，常态化开展线上线下专利转化对接，推动一批高价值专利向中小企业转移转化。</w:t>
            </w:r>
          </w:p>
          <w:p w14:paraId="2CA015A2">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56.开展湖南知识产权“百企优培”行动。面向全省征集100家左右科创型中小微企业知识产权服务需求，采取“一企一台账、一企一专班”的跟踪服务方式，为企业提供快速预审、检索分析、维权援助等服务，助力培育新质生产力。</w:t>
            </w:r>
          </w:p>
          <w:p w14:paraId="0652C0BC">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57.实施专利转化运用专项行动，以专利产业化助力中小企业成长，鼓励企业开展知识产权质押融资赋能产业发展，引导企业培育形成专利密集型产品。</w:t>
            </w:r>
          </w:p>
        </w:tc>
      </w:tr>
      <w:tr w14:paraId="56B4E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70" w:hRule="atLeast"/>
          <w:jc w:val="center"/>
        </w:trPr>
        <w:tc>
          <w:tcPr>
            <w:tcW w:w="1470" w:type="dxa"/>
            <w:vMerge w:val="continue"/>
            <w:noWrap w:val="0"/>
            <w:vAlign w:val="center"/>
          </w:tcPr>
          <w:p w14:paraId="38E58783">
            <w:pPr>
              <w:adjustRightInd w:val="0"/>
              <w:snapToGrid w:val="0"/>
              <w:spacing w:line="360" w:lineRule="exact"/>
              <w:jc w:val="center"/>
              <w:rPr>
                <w:rFonts w:ascii="Times New Roman" w:hAnsi="Times New Roman" w:eastAsia="仿宋"/>
                <w:color w:val="000000"/>
                <w:kern w:val="0"/>
                <w:sz w:val="28"/>
                <w:szCs w:val="28"/>
                <w:lang w:bidi="ar"/>
              </w:rPr>
            </w:pPr>
          </w:p>
        </w:tc>
        <w:tc>
          <w:tcPr>
            <w:tcW w:w="1929" w:type="dxa"/>
            <w:noWrap w:val="0"/>
            <w:vAlign w:val="center"/>
          </w:tcPr>
          <w:p w14:paraId="431FF3B2">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省工商联</w:t>
            </w:r>
          </w:p>
        </w:tc>
        <w:tc>
          <w:tcPr>
            <w:tcW w:w="11906" w:type="dxa"/>
            <w:noWrap w:val="0"/>
            <w:vAlign w:val="center"/>
          </w:tcPr>
          <w:p w14:paraId="47710BC2">
            <w:pPr>
              <w:tabs>
                <w:tab w:val="left" w:pos="312"/>
              </w:tabs>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58.宣传推广创新型成长型民营企业赋能行动指引，与有关金融机构等共同举办金融赋能对接系列活动，支持民营企业深度参与“两重”项目建设和“两新”政策实施，培育壮大新兴产业和未来产业。</w:t>
            </w:r>
          </w:p>
          <w:p w14:paraId="5DE62BA3">
            <w:pPr>
              <w:tabs>
                <w:tab w:val="left" w:pos="312"/>
              </w:tabs>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59.加强与有关部门、专业机构合作，加强对民营企业的科技服务、标准服务和数字化转型服务。</w:t>
            </w:r>
          </w:p>
        </w:tc>
      </w:tr>
      <w:tr w14:paraId="66EB4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67" w:hRule="atLeast"/>
          <w:jc w:val="center"/>
        </w:trPr>
        <w:tc>
          <w:tcPr>
            <w:tcW w:w="1470" w:type="dxa"/>
            <w:vMerge w:val="restart"/>
            <w:noWrap w:val="0"/>
            <w:vAlign w:val="center"/>
          </w:tcPr>
          <w:p w14:paraId="346D4948">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sz w:val="28"/>
                <w:szCs w:val="28"/>
              </w:rPr>
              <w:t>人才兴企</w:t>
            </w:r>
          </w:p>
        </w:tc>
        <w:tc>
          <w:tcPr>
            <w:tcW w:w="1929" w:type="dxa"/>
            <w:noWrap w:val="0"/>
            <w:vAlign w:val="center"/>
          </w:tcPr>
          <w:p w14:paraId="2C1A2E50">
            <w:pPr>
              <w:adjustRightInd w:val="0"/>
              <w:snapToGrid w:val="0"/>
              <w:spacing w:line="360" w:lineRule="exact"/>
              <w:jc w:val="center"/>
              <w:rPr>
                <w:rFonts w:ascii="Times New Roman" w:hAnsi="Times New Roman" w:eastAsia="仿宋"/>
                <w:sz w:val="28"/>
                <w:szCs w:val="28"/>
              </w:rPr>
            </w:pPr>
            <w:r>
              <w:rPr>
                <w:rFonts w:ascii="Times New Roman" w:hAnsi="Times New Roman" w:eastAsia="仿宋"/>
                <w:sz w:val="28"/>
                <w:szCs w:val="28"/>
              </w:rPr>
              <w:t>省工业和信息化厅</w:t>
            </w:r>
          </w:p>
        </w:tc>
        <w:tc>
          <w:tcPr>
            <w:tcW w:w="11906" w:type="dxa"/>
            <w:noWrap w:val="0"/>
            <w:vAlign w:val="center"/>
          </w:tcPr>
          <w:p w14:paraId="6C149097">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60.开展百日招聘高校毕业生活动和“优企进校 招才引智”专项行动，引导优秀人才到中小企业就业。</w:t>
            </w:r>
          </w:p>
          <w:p w14:paraId="68BC4A4C">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61.深入实施“湘企英才”中小企业经营管理人员培训工程，提升中小企业经营管理水平。加强中小企业人才线上培训平台建设，充实网络课程库，征集遴选一批中小企业人才培训“名师优课”，组织“名师优课”公益送课园区行活动，降低培训门槛。</w:t>
            </w:r>
          </w:p>
          <w:p w14:paraId="3A1650F9">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62.组织开展专精特新中小企业高级职称评审专场，畅通企业人才发展通道。</w:t>
            </w:r>
          </w:p>
          <w:p w14:paraId="5B84482D">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63.举办全省工业和信息化技术技能大赛，选拔培养更多高素质技术技能人才。</w:t>
            </w:r>
          </w:p>
        </w:tc>
      </w:tr>
      <w:tr w14:paraId="0497B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20" w:hRule="atLeast"/>
          <w:jc w:val="center"/>
        </w:trPr>
        <w:tc>
          <w:tcPr>
            <w:tcW w:w="1470" w:type="dxa"/>
            <w:vMerge w:val="continue"/>
            <w:noWrap w:val="0"/>
            <w:vAlign w:val="center"/>
          </w:tcPr>
          <w:p w14:paraId="147F9943">
            <w:pPr>
              <w:adjustRightInd w:val="0"/>
              <w:snapToGrid w:val="0"/>
              <w:spacing w:line="360" w:lineRule="exact"/>
              <w:rPr>
                <w:rFonts w:ascii="Times New Roman" w:hAnsi="Times New Roman" w:eastAsia="仿宋"/>
                <w:color w:val="000000"/>
                <w:kern w:val="0"/>
                <w:sz w:val="28"/>
                <w:szCs w:val="28"/>
                <w:lang w:bidi="ar"/>
              </w:rPr>
            </w:pPr>
          </w:p>
        </w:tc>
        <w:tc>
          <w:tcPr>
            <w:tcW w:w="1929" w:type="dxa"/>
            <w:noWrap w:val="0"/>
            <w:vAlign w:val="center"/>
          </w:tcPr>
          <w:p w14:paraId="149BD4D1">
            <w:pPr>
              <w:adjustRightInd w:val="0"/>
              <w:snapToGrid w:val="0"/>
              <w:spacing w:line="360" w:lineRule="exact"/>
              <w:jc w:val="center"/>
              <w:rPr>
                <w:rFonts w:ascii="Times New Roman" w:hAnsi="Times New Roman" w:eastAsia="仿宋"/>
                <w:sz w:val="28"/>
                <w:szCs w:val="28"/>
              </w:rPr>
            </w:pPr>
            <w:r>
              <w:rPr>
                <w:rFonts w:ascii="Times New Roman" w:hAnsi="Times New Roman" w:eastAsia="仿宋"/>
                <w:color w:val="000000"/>
                <w:kern w:val="0"/>
                <w:sz w:val="28"/>
                <w:szCs w:val="28"/>
                <w:lang w:bidi="ar"/>
              </w:rPr>
              <w:t>省人力资源</w:t>
            </w:r>
            <w:r>
              <w:rPr>
                <w:rFonts w:hint="eastAsia" w:ascii="Times New Roman" w:hAnsi="Times New Roman" w:eastAsia="仿宋"/>
                <w:color w:val="000000"/>
                <w:kern w:val="0"/>
                <w:sz w:val="28"/>
                <w:szCs w:val="28"/>
                <w:lang w:bidi="ar"/>
              </w:rPr>
              <w:t>社会</w:t>
            </w:r>
            <w:r>
              <w:rPr>
                <w:rFonts w:ascii="Times New Roman" w:hAnsi="Times New Roman" w:eastAsia="仿宋"/>
                <w:color w:val="000000"/>
                <w:kern w:val="0"/>
                <w:sz w:val="28"/>
                <w:szCs w:val="28"/>
                <w:lang w:bidi="ar"/>
              </w:rPr>
              <w:t>保障厅</w:t>
            </w:r>
          </w:p>
        </w:tc>
        <w:tc>
          <w:tcPr>
            <w:tcW w:w="11906" w:type="dxa"/>
            <w:noWrap w:val="0"/>
            <w:vAlign w:val="center"/>
          </w:tcPr>
          <w:p w14:paraId="1EAA62C3">
            <w:pPr>
              <w:tabs>
                <w:tab w:val="left" w:pos="312"/>
              </w:tabs>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64.推动各地结合经济发展实际和产业布局，动态调整重点企业用工服务清单，充分吸纳就业能力强的制造业优质企业。完善企业用工服务机制，明确人社服务专员，强化“一对一”定点联系，全面掌握企业用工需求，为其提供线上线下招聘、劳务协作对接等服务，及时解决用工困难问题。</w:t>
            </w:r>
          </w:p>
          <w:p w14:paraId="194BBC01">
            <w:pPr>
              <w:tabs>
                <w:tab w:val="left" w:pos="312"/>
              </w:tabs>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65.线上线下联动促进人岗匹配。引导中小企业通过“湘就业”平台和公共就业服务平台发布岗位信息，发动全省各级公共就业服务机构加大对中小企业的服务倾斜，为供需双方提供直播带岗、视频面试、云上签约等招聘服务，提升中小微企业吸纳就业能力。持续开展“春风行动”、金秋招聘月、民营企业招聘月、“湘人才”系列公益招聘活动等公共就业服务专项行动，促进企业和劳动者精准对接。</w:t>
            </w:r>
          </w:p>
        </w:tc>
      </w:tr>
      <w:tr w14:paraId="1C205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73" w:hRule="atLeast"/>
          <w:jc w:val="center"/>
        </w:trPr>
        <w:tc>
          <w:tcPr>
            <w:tcW w:w="1470" w:type="dxa"/>
            <w:vMerge w:val="continue"/>
            <w:noWrap w:val="0"/>
            <w:vAlign w:val="center"/>
          </w:tcPr>
          <w:p w14:paraId="12B6D78D">
            <w:pPr>
              <w:adjustRightInd w:val="0"/>
              <w:snapToGrid w:val="0"/>
              <w:spacing w:line="360" w:lineRule="exact"/>
              <w:jc w:val="center"/>
              <w:rPr>
                <w:rFonts w:ascii="Times New Roman" w:hAnsi="Times New Roman" w:eastAsia="仿宋"/>
                <w:color w:val="000000"/>
                <w:kern w:val="0"/>
                <w:sz w:val="28"/>
                <w:szCs w:val="28"/>
                <w:lang w:bidi="ar"/>
              </w:rPr>
            </w:pPr>
          </w:p>
        </w:tc>
        <w:tc>
          <w:tcPr>
            <w:tcW w:w="1929" w:type="dxa"/>
            <w:noWrap w:val="0"/>
            <w:vAlign w:val="center"/>
          </w:tcPr>
          <w:p w14:paraId="4C9BDA07">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省总工会</w:t>
            </w:r>
          </w:p>
        </w:tc>
        <w:tc>
          <w:tcPr>
            <w:tcW w:w="11906" w:type="dxa"/>
            <w:noWrap w:val="0"/>
            <w:vAlign w:val="center"/>
          </w:tcPr>
          <w:p w14:paraId="6BF997A4">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66.利用“职工之家”APP与湖南本地高校、科研机构建立紧密联系，精准匹配相关专业的劳模工匠、专家学者，组建专门服务团队，为企业开展一对一技术指导与服务。</w:t>
            </w:r>
          </w:p>
          <w:p w14:paraId="52CBE9EA">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67.开展产业工人学历继续教育和“订单式”“定向式”“定岗式”非学历教育。依托工匠学院，完成职工职业技能培训和班组长培训。</w:t>
            </w:r>
          </w:p>
        </w:tc>
      </w:tr>
      <w:tr w14:paraId="32D7F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13" w:hRule="atLeast"/>
          <w:jc w:val="center"/>
        </w:trPr>
        <w:tc>
          <w:tcPr>
            <w:tcW w:w="1470" w:type="dxa"/>
            <w:vMerge w:val="restart"/>
            <w:noWrap w:val="0"/>
            <w:vAlign w:val="center"/>
          </w:tcPr>
          <w:p w14:paraId="354DDBEC">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sz w:val="28"/>
                <w:szCs w:val="28"/>
              </w:rPr>
              <w:t>法律护企</w:t>
            </w:r>
          </w:p>
        </w:tc>
        <w:tc>
          <w:tcPr>
            <w:tcW w:w="1929" w:type="dxa"/>
            <w:noWrap w:val="0"/>
            <w:vAlign w:val="center"/>
          </w:tcPr>
          <w:p w14:paraId="5D01109B">
            <w:pPr>
              <w:adjustRightInd w:val="0"/>
              <w:snapToGrid w:val="0"/>
              <w:spacing w:line="360" w:lineRule="exact"/>
              <w:jc w:val="center"/>
              <w:rPr>
                <w:rFonts w:ascii="Times New Roman" w:hAnsi="Times New Roman" w:eastAsia="仿宋"/>
                <w:sz w:val="28"/>
                <w:szCs w:val="28"/>
              </w:rPr>
            </w:pPr>
            <w:r>
              <w:rPr>
                <w:rFonts w:ascii="Times New Roman" w:hAnsi="Times New Roman" w:eastAsia="仿宋"/>
                <w:sz w:val="28"/>
                <w:szCs w:val="28"/>
              </w:rPr>
              <w:t>省工业和信息化厅</w:t>
            </w:r>
          </w:p>
        </w:tc>
        <w:tc>
          <w:tcPr>
            <w:tcW w:w="11906" w:type="dxa"/>
            <w:noWrap w:val="0"/>
            <w:vAlign w:val="center"/>
          </w:tcPr>
          <w:p w14:paraId="486652D8">
            <w:pPr>
              <w:pStyle w:val="5"/>
              <w:adjustRightInd w:val="0"/>
              <w:snapToGrid w:val="0"/>
              <w:spacing w:after="0" w:line="360" w:lineRule="exact"/>
              <w:ind w:left="0" w:leftChars="0" w:firstLine="0" w:firstLineChars="0"/>
              <w:rPr>
                <w:rFonts w:ascii="Times New Roman" w:hAnsi="Times New Roman" w:eastAsia="仿宋"/>
                <w:sz w:val="28"/>
                <w:szCs w:val="28"/>
              </w:rPr>
            </w:pPr>
            <w:r>
              <w:rPr>
                <w:rFonts w:ascii="Times New Roman" w:hAnsi="Times New Roman" w:eastAsia="仿宋"/>
                <w:sz w:val="28"/>
                <w:szCs w:val="28"/>
              </w:rPr>
              <w:t>68.健全拖欠中小企业账款投诉办理运行机制，对投诉受理、交办、办理实行全流程、常态化跟踪，定期通报办理情况，通过强化流程管控切实提高欠款化解效率。</w:t>
            </w:r>
          </w:p>
          <w:p w14:paraId="51A3471B">
            <w:pPr>
              <w:pStyle w:val="5"/>
              <w:adjustRightInd w:val="0"/>
              <w:snapToGrid w:val="0"/>
              <w:spacing w:after="0" w:line="360" w:lineRule="exact"/>
              <w:ind w:left="0" w:leftChars="0" w:firstLine="0" w:firstLineChars="0"/>
              <w:rPr>
                <w:rFonts w:ascii="Times New Roman" w:hAnsi="Times New Roman" w:eastAsia="仿宋"/>
                <w:sz w:val="28"/>
                <w:szCs w:val="28"/>
              </w:rPr>
            </w:pPr>
            <w:r>
              <w:rPr>
                <w:rFonts w:ascii="Times New Roman" w:hAnsi="Times New Roman" w:eastAsia="仿宋"/>
                <w:sz w:val="28"/>
                <w:szCs w:val="28"/>
              </w:rPr>
              <w:t>69.全面摸排地方政府拖欠企业账款底数，加大清欠力度，抓好《中华人民共和国中小企业促进法》《湖南省实施&lt;中华人民共和国中小企业促进法〉办法》等法律法规宣贯实施，切实保障中小企业合法权益。</w:t>
            </w:r>
          </w:p>
          <w:p w14:paraId="7C656336">
            <w:pPr>
              <w:pStyle w:val="5"/>
              <w:adjustRightInd w:val="0"/>
              <w:snapToGrid w:val="0"/>
              <w:spacing w:after="0" w:line="360" w:lineRule="exact"/>
              <w:ind w:left="0" w:leftChars="0" w:firstLine="0" w:firstLineChars="0"/>
              <w:rPr>
                <w:rFonts w:ascii="Times New Roman" w:hAnsi="Times New Roman" w:eastAsia="仿宋"/>
                <w:sz w:val="28"/>
                <w:szCs w:val="28"/>
              </w:rPr>
            </w:pPr>
            <w:r>
              <w:rPr>
                <w:rFonts w:ascii="Times New Roman" w:hAnsi="Times New Roman" w:eastAsia="仿宋"/>
                <w:sz w:val="28"/>
                <w:szCs w:val="28"/>
              </w:rPr>
              <w:t>70.组织服务资源，创新服务方式为企业提供公益性法律服务，持续擦亮“服务实体经济 律企携手同行”法律服务品牌。</w:t>
            </w:r>
          </w:p>
          <w:p w14:paraId="7E086707">
            <w:pPr>
              <w:pStyle w:val="5"/>
              <w:adjustRightInd w:val="0"/>
              <w:snapToGrid w:val="0"/>
              <w:spacing w:after="0" w:line="360" w:lineRule="exact"/>
              <w:ind w:left="0" w:leftChars="0" w:firstLine="0" w:firstLineChars="0"/>
              <w:rPr>
                <w:rFonts w:ascii="Times New Roman" w:hAnsi="Times New Roman" w:eastAsia="仿宋"/>
                <w:sz w:val="28"/>
                <w:szCs w:val="28"/>
              </w:rPr>
            </w:pPr>
            <w:r>
              <w:rPr>
                <w:rFonts w:ascii="Times New Roman" w:hAnsi="Times New Roman" w:eastAsia="仿宋"/>
                <w:sz w:val="28"/>
                <w:szCs w:val="28"/>
              </w:rPr>
              <w:t>71.实施中小企业出海服务专项行动，鼓励优质服务机构为中小企业提供海外权益保护服务。</w:t>
            </w:r>
          </w:p>
        </w:tc>
      </w:tr>
      <w:tr w14:paraId="7B700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0" w:hRule="atLeast"/>
          <w:jc w:val="center"/>
        </w:trPr>
        <w:tc>
          <w:tcPr>
            <w:tcW w:w="1470" w:type="dxa"/>
            <w:vMerge w:val="continue"/>
            <w:noWrap w:val="0"/>
            <w:vAlign w:val="center"/>
          </w:tcPr>
          <w:p w14:paraId="2A0DDF8B">
            <w:pPr>
              <w:adjustRightInd w:val="0"/>
              <w:snapToGrid w:val="0"/>
              <w:spacing w:line="360" w:lineRule="exact"/>
              <w:jc w:val="center"/>
              <w:rPr>
                <w:rFonts w:ascii="Times New Roman" w:hAnsi="Times New Roman" w:eastAsia="仿宋"/>
                <w:color w:val="000000"/>
                <w:kern w:val="0"/>
                <w:sz w:val="28"/>
                <w:szCs w:val="28"/>
                <w:lang w:bidi="ar"/>
              </w:rPr>
            </w:pPr>
          </w:p>
        </w:tc>
        <w:tc>
          <w:tcPr>
            <w:tcW w:w="1929" w:type="dxa"/>
            <w:noWrap w:val="0"/>
            <w:vAlign w:val="center"/>
          </w:tcPr>
          <w:p w14:paraId="0557A8FB">
            <w:pPr>
              <w:adjustRightInd w:val="0"/>
              <w:snapToGrid w:val="0"/>
              <w:spacing w:line="360" w:lineRule="exact"/>
              <w:jc w:val="center"/>
              <w:rPr>
                <w:rFonts w:ascii="Times New Roman" w:hAnsi="Times New Roman" w:eastAsia="仿宋"/>
                <w:sz w:val="28"/>
                <w:szCs w:val="28"/>
              </w:rPr>
            </w:pPr>
            <w:r>
              <w:rPr>
                <w:rFonts w:ascii="Times New Roman" w:hAnsi="Times New Roman" w:eastAsia="仿宋"/>
                <w:color w:val="000000"/>
                <w:kern w:val="0"/>
                <w:sz w:val="28"/>
                <w:szCs w:val="28"/>
                <w:lang w:bidi="ar"/>
              </w:rPr>
              <w:t>省发展改革委</w:t>
            </w:r>
          </w:p>
        </w:tc>
        <w:tc>
          <w:tcPr>
            <w:tcW w:w="11906" w:type="dxa"/>
            <w:noWrap w:val="0"/>
            <w:vAlign w:val="center"/>
          </w:tcPr>
          <w:p w14:paraId="5E6B3755">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72.开展民营经济促进法配套法规立法调研工作。</w:t>
            </w:r>
          </w:p>
        </w:tc>
      </w:tr>
      <w:tr w14:paraId="47976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18" w:hRule="atLeast"/>
          <w:jc w:val="center"/>
        </w:trPr>
        <w:tc>
          <w:tcPr>
            <w:tcW w:w="1470" w:type="dxa"/>
            <w:vMerge w:val="continue"/>
            <w:noWrap w:val="0"/>
            <w:vAlign w:val="center"/>
          </w:tcPr>
          <w:p w14:paraId="47BE286A">
            <w:pPr>
              <w:adjustRightInd w:val="0"/>
              <w:snapToGrid w:val="0"/>
              <w:spacing w:line="360" w:lineRule="exact"/>
              <w:jc w:val="center"/>
              <w:rPr>
                <w:rFonts w:ascii="Times New Roman" w:hAnsi="Times New Roman" w:eastAsia="仿宋"/>
                <w:color w:val="000000"/>
                <w:kern w:val="0"/>
                <w:sz w:val="28"/>
                <w:szCs w:val="28"/>
                <w:lang w:bidi="ar"/>
              </w:rPr>
            </w:pPr>
          </w:p>
        </w:tc>
        <w:tc>
          <w:tcPr>
            <w:tcW w:w="1929" w:type="dxa"/>
            <w:noWrap w:val="0"/>
            <w:vAlign w:val="center"/>
          </w:tcPr>
          <w:p w14:paraId="397DD6A5">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长沙海关</w:t>
            </w:r>
          </w:p>
        </w:tc>
        <w:tc>
          <w:tcPr>
            <w:tcW w:w="11906" w:type="dxa"/>
            <w:noWrap w:val="0"/>
            <w:vAlign w:val="center"/>
          </w:tcPr>
          <w:p w14:paraId="003809D6">
            <w:pPr>
              <w:tabs>
                <w:tab w:val="left" w:pos="312"/>
              </w:tabs>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 xml:space="preserve">73.深度参与海关法律法规制修订工作，坚持“开门立法”，广泛听取中小企业在内的行政相对人意见建议。 </w:t>
            </w:r>
          </w:p>
          <w:p w14:paraId="6B40592A">
            <w:pPr>
              <w:tabs>
                <w:tab w:val="left" w:pos="312"/>
              </w:tabs>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74.常态化举办优化口岸营商环境企业座谈及政策宣讲会，及时回应解决企业难点堵点问题；持续开展“关长送法上门”法治服务活动，对辖区中小企业“一企一策”提供海关法律制度、行政许可、行政处罚典型案例等法律服务。</w:t>
            </w:r>
          </w:p>
        </w:tc>
      </w:tr>
      <w:tr w14:paraId="5A0B7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38" w:hRule="atLeast"/>
          <w:jc w:val="center"/>
        </w:trPr>
        <w:tc>
          <w:tcPr>
            <w:tcW w:w="1470" w:type="dxa"/>
            <w:vMerge w:val="restart"/>
            <w:noWrap w:val="0"/>
            <w:vAlign w:val="center"/>
          </w:tcPr>
          <w:p w14:paraId="5332A824">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sz w:val="28"/>
                <w:szCs w:val="28"/>
              </w:rPr>
              <w:t>法律护企</w:t>
            </w:r>
          </w:p>
        </w:tc>
        <w:tc>
          <w:tcPr>
            <w:tcW w:w="1929" w:type="dxa"/>
            <w:noWrap w:val="0"/>
            <w:vAlign w:val="center"/>
          </w:tcPr>
          <w:p w14:paraId="3FFC4954">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省市场监管局</w:t>
            </w:r>
          </w:p>
        </w:tc>
        <w:tc>
          <w:tcPr>
            <w:tcW w:w="11906" w:type="dxa"/>
            <w:noWrap w:val="0"/>
            <w:vAlign w:val="center"/>
          </w:tcPr>
          <w:p w14:paraId="5CEDC596">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75.贯彻落实新《公司法》及配套行政法规，加大新《公司法》宣传解读力度，扎实推进注册资本制度改革，引导股东如实履行出资义务，提高公司注册资本质量，指导公司依法便捷调整出资期限、出资数额，优化公司登记服务，稳定公司发展预期，确保公司制企业平稳发展。</w:t>
            </w:r>
          </w:p>
          <w:p w14:paraId="4488CEC9">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76.完善中小企业信用评价体系，根据企业信用风险等级状况实施差异化监管，除特殊行业、重点领域外，对本年度综合信用评价等次为“优”、信用风险低的A类中小企业免于双随机抽查；对综合信用评价等次为“良”、信用风险一般的B类中小企业降低50%以上的双随机抽查比例和频次，以信用赋能中小企业发展。</w:t>
            </w:r>
          </w:p>
          <w:p w14:paraId="38F4AD1B">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77.对全省各市州正在进行或预潜在海外诉讼纠纷中小企业纳入专项支持，对全省三家国家级知识产权保护中心进行提质升级能力建设，加大服务中小企业力度，提供集快速预审、快速维权、快速确权于一体的知识产权快速协同保护，提升中小企业知识产权“一站式”保护效能。</w:t>
            </w:r>
          </w:p>
          <w:p w14:paraId="3C485B56">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78.发挥国家级知识产权保护中心作用，积极为企业提供法律咨询、纠纷调解、维权援助和海外知识产权侵权纠纷应对指导等服务。</w:t>
            </w:r>
          </w:p>
        </w:tc>
      </w:tr>
      <w:tr w14:paraId="1C344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22" w:hRule="atLeast"/>
          <w:jc w:val="center"/>
        </w:trPr>
        <w:tc>
          <w:tcPr>
            <w:tcW w:w="1470" w:type="dxa"/>
            <w:vMerge w:val="continue"/>
            <w:noWrap w:val="0"/>
            <w:vAlign w:val="center"/>
          </w:tcPr>
          <w:p w14:paraId="583F4C1C">
            <w:pPr>
              <w:adjustRightInd w:val="0"/>
              <w:snapToGrid w:val="0"/>
              <w:spacing w:line="360" w:lineRule="exact"/>
              <w:jc w:val="center"/>
              <w:rPr>
                <w:rFonts w:ascii="Times New Roman" w:hAnsi="Times New Roman" w:eastAsia="仿宋"/>
                <w:color w:val="000000"/>
                <w:kern w:val="0"/>
                <w:sz w:val="28"/>
                <w:szCs w:val="28"/>
                <w:lang w:bidi="ar"/>
              </w:rPr>
            </w:pPr>
          </w:p>
        </w:tc>
        <w:tc>
          <w:tcPr>
            <w:tcW w:w="1929" w:type="dxa"/>
            <w:noWrap w:val="0"/>
            <w:vAlign w:val="center"/>
          </w:tcPr>
          <w:p w14:paraId="259FAD56">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省贸促会</w:t>
            </w:r>
          </w:p>
        </w:tc>
        <w:tc>
          <w:tcPr>
            <w:tcW w:w="11906" w:type="dxa"/>
            <w:noWrap w:val="0"/>
            <w:vAlign w:val="center"/>
          </w:tcPr>
          <w:p w14:paraId="1837CF76">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79.举办系列商事法律培训，提升企业法律素质。</w:t>
            </w:r>
          </w:p>
          <w:p w14:paraId="7B83C264">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80.编印多国《经贸投资法律风险提示》，提升企业海外经营风险防范能力。</w:t>
            </w:r>
          </w:p>
          <w:p w14:paraId="03E6D1AB">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81.开展“合规强链惠千企”行动，帮助更多中小企业树立合规意识，搭建合规合管体系，助力企业合规经营、合规避险，维护权益。</w:t>
            </w:r>
          </w:p>
          <w:p w14:paraId="23834B79">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82.深入推进实施商事调解多元解纷“个十百千万”行动，助力民营企业以更低成本化解涉外商事争议及知识产权争议。</w:t>
            </w:r>
          </w:p>
        </w:tc>
      </w:tr>
    </w:tbl>
    <w:p w14:paraId="0D85EF1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01824F34"/>
    <w:rsid w:val="01824F34"/>
    <w:rsid w:val="247A6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6486</Words>
  <Characters>6699</Characters>
  <Lines>0</Lines>
  <Paragraphs>0</Paragraphs>
  <TotalTime>0</TotalTime>
  <ScaleCrop>false</ScaleCrop>
  <LinksUpToDate>false</LinksUpToDate>
  <CharactersWithSpaces>6704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2025-04-03T08:10:00Z</dcterms:created>
  <dc:creator>杨祖德</dc:creator>
  <cp:lastModifiedBy>LEIMINJIE</cp:lastModifiedBy>
  <dcterms:modified xsi:type="dcterms:W3CDTF">2025-09-09T03:19:16Z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011627EB030C4A5AADAECE993303DC2C_13</vt:lpwstr>
  </property>
  <property fmtid="{D5CDD505-2E9C-101B-9397-08002B2CF9AE}" pid="4" name="KSOTemplateDocerSaveRecord">
    <vt:lpwstr>eyJoZGlkIjoiYWM2NTdhZDBjZDg5MWM0NzAwZTkxODQ3NjZkNzFhN2IiLCJ1c2VySWQiOiI2OTU1NTUxOTQifQ==</vt:lpwstr>
  </property>
</Properties>
</file>