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9"/>
        <w:rPr>
          <w:rFonts w:hint="default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2</w:t>
      </w:r>
    </w:p>
    <w:p>
      <w:pPr>
        <w:jc w:val="left"/>
        <w:outlineLvl w:val="9"/>
        <w:rPr>
          <w:rFonts w:hint="default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智能制造系统解决方案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揭榜挂帅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”重点行业</w:t>
      </w:r>
    </w:p>
    <w:p>
      <w:pPr>
        <w:jc w:val="left"/>
        <w:outlineLvl w:val="9"/>
        <w:rPr>
          <w:rFonts w:hint="default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一、原材料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石化化工、钢铁、有色金属、建材等。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二、高端装备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传感器及仪器仪表、工业母机、机器人、汽车及汽车零部件、轨道交通装备、医疗装备、工程机械、农业机械、航空航天装备、船舶及海洋工程装备、能源装备、基础零部件等。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三、消费品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轻工、纺织、食品、医药等。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四、电子信息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电子设备、光伏、集成电路等。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五、其他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民爆、矿业、印刷等。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9530CD"/>
    <w:rsid w:val="01FFEF52"/>
    <w:rsid w:val="1DE304F8"/>
    <w:rsid w:val="6EF7FB2C"/>
    <w:rsid w:val="8B2F3C43"/>
    <w:rsid w:val="979530CD"/>
    <w:rsid w:val="9BBF57B3"/>
    <w:rsid w:val="C9735C3D"/>
    <w:rsid w:val="DDBD1739"/>
    <w:rsid w:val="DFF755C9"/>
    <w:rsid w:val="FD7F3024"/>
    <w:rsid w:val="FFFE4F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2024-09-30T02:37:00Z</dcterms:created>
  <dc:creator>赵奉杰</dc:creator>
  <cp:lastModifiedBy>xiaojun</cp:lastModifiedBy>
  <dcterms:modified xsi:type="dcterms:W3CDTF">2024-10-25T16:38:01Z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D1FEC13A86E08402E9581B675021FBE1</vt:lpwstr>
  </property>
</Properties>
</file>