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2B333">
      <w:pPr>
        <w:widowControl w:val="0"/>
        <w:kinsoku/>
        <w:autoSpaceDE/>
        <w:autoSpaceDN/>
        <w:adjustRightInd/>
        <w:snapToGrid/>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附件2</w:t>
      </w:r>
    </w:p>
    <w:p w14:paraId="529065B4">
      <w:pPr>
        <w:widowControl w:val="0"/>
        <w:kinsoku/>
        <w:autoSpaceDE/>
        <w:autoSpaceDN/>
        <w:adjustRightInd/>
        <w:snapToGrid/>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 xml:space="preserve">                                              </w:t>
      </w:r>
    </w:p>
    <w:p w14:paraId="24A52D07">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p>
    <w:p w14:paraId="34DE107A">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p>
    <w:p w14:paraId="30A580B8">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52"/>
          <w:szCs w:val="52"/>
        </w:rPr>
      </w:pPr>
      <w:r>
        <w:rPr>
          <w:rFonts w:ascii="Times New Roman" w:hAnsi="Times New Roman" w:eastAsia="方正小标宋简体" w:cs="Times New Roman"/>
          <w:bCs/>
          <w:snapToGrid/>
          <w:kern w:val="2"/>
          <w:sz w:val="52"/>
          <w:szCs w:val="52"/>
        </w:rPr>
        <w:t>湖南省绿色工厂第三方评价报告</w:t>
      </w:r>
    </w:p>
    <w:p w14:paraId="240CD2F8">
      <w:pPr>
        <w:widowControl w:val="0"/>
        <w:kinsoku/>
        <w:autoSpaceDE/>
        <w:autoSpaceDN/>
        <w:adjustRightInd/>
        <w:snapToGrid/>
        <w:jc w:val="both"/>
        <w:textAlignment w:val="auto"/>
        <w:rPr>
          <w:rFonts w:ascii="Times New Roman" w:hAnsi="Times New Roman" w:eastAsia="仿宋_GB2312" w:cs="Times New Roman"/>
          <w:snapToGrid/>
          <w:kern w:val="2"/>
          <w:sz w:val="28"/>
          <w:szCs w:val="22"/>
        </w:rPr>
      </w:pPr>
    </w:p>
    <w:p w14:paraId="1A978F85">
      <w:pPr>
        <w:widowControl w:val="0"/>
        <w:kinsoku/>
        <w:autoSpaceDE/>
        <w:autoSpaceDN/>
        <w:adjustRightInd/>
        <w:snapToGrid/>
        <w:jc w:val="both"/>
        <w:textAlignment w:val="auto"/>
        <w:rPr>
          <w:rFonts w:ascii="Times New Roman" w:hAnsi="Times New Roman" w:eastAsia="仿宋_GB2312" w:cs="Times New Roman"/>
          <w:snapToGrid/>
          <w:kern w:val="2"/>
          <w:sz w:val="28"/>
          <w:szCs w:val="22"/>
        </w:rPr>
      </w:pPr>
    </w:p>
    <w:p w14:paraId="30DA3749">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1BBB2E33">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472C5D8B">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38AB3D12">
      <w:pPr>
        <w:widowControl w:val="0"/>
        <w:kinsoku/>
        <w:autoSpaceDE/>
        <w:autoSpaceDN/>
        <w:adjustRightInd/>
        <w:snapToGrid/>
        <w:spacing w:line="360" w:lineRule="auto"/>
        <w:ind w:firstLine="960" w:firstLineChars="3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工    厂   名   称：</w:t>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ab/>
      </w:r>
      <w:r>
        <w:rPr>
          <w:rFonts w:ascii="Times New Roman" w:hAnsi="Times New Roman" w:eastAsia="仿宋_GB2312" w:cs="Times New Roman"/>
          <w:snapToGrid/>
          <w:kern w:val="2"/>
          <w:sz w:val="32"/>
          <w:szCs w:val="32"/>
          <w:u w:val="single"/>
        </w:rPr>
        <w:t xml:space="preserve">  </w:t>
      </w:r>
    </w:p>
    <w:p w14:paraId="32B2F6D1">
      <w:pPr>
        <w:widowControl w:val="0"/>
        <w:kinsoku/>
        <w:autoSpaceDE/>
        <w:autoSpaceDN/>
        <w:adjustRightInd/>
        <w:snapToGrid/>
        <w:spacing w:line="360" w:lineRule="auto"/>
        <w:ind w:firstLine="1928" w:firstLineChars="600"/>
        <w:jc w:val="both"/>
        <w:textAlignment w:val="auto"/>
        <w:rPr>
          <w:rFonts w:ascii="Times New Roman" w:hAnsi="Times New Roman" w:eastAsia="仿宋_GB2312" w:cs="Times New Roman"/>
          <w:b/>
          <w:snapToGrid/>
          <w:kern w:val="2"/>
          <w:sz w:val="32"/>
          <w:szCs w:val="32"/>
        </w:rPr>
      </w:pPr>
    </w:p>
    <w:p w14:paraId="4694D852">
      <w:pPr>
        <w:widowControl w:val="0"/>
        <w:kinsoku/>
        <w:autoSpaceDE/>
        <w:autoSpaceDN/>
        <w:adjustRightInd/>
        <w:snapToGrid/>
        <w:spacing w:line="360" w:lineRule="auto"/>
        <w:ind w:firstLine="960" w:firstLineChars="3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2"/>
          <w:szCs w:val="32"/>
        </w:rPr>
        <w:t>第三方评价机构名称：</w:t>
      </w:r>
      <w:r>
        <w:rPr>
          <w:rFonts w:ascii="Times New Roman" w:hAnsi="Times New Roman" w:eastAsia="仿宋_GB2312" w:cs="Times New Roman"/>
          <w:snapToGrid/>
          <w:kern w:val="2"/>
          <w:sz w:val="32"/>
          <w:szCs w:val="32"/>
          <w:u w:val="single"/>
        </w:rPr>
        <w:t xml:space="preserve">                        </w:t>
      </w:r>
    </w:p>
    <w:p w14:paraId="2E13F8B5">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3D17BF4C">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0166514E">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p>
    <w:p w14:paraId="6FC80126">
      <w:pPr>
        <w:widowControl w:val="0"/>
        <w:kinsoku/>
        <w:autoSpaceDE/>
        <w:autoSpaceDN/>
        <w:adjustRightInd/>
        <w:snapToGrid/>
        <w:jc w:val="both"/>
        <w:textAlignment w:val="auto"/>
        <w:rPr>
          <w:rFonts w:ascii="Times New Roman" w:hAnsi="Times New Roman" w:eastAsia="方正仿宋简体" w:cs="Times New Roman"/>
          <w:snapToGrid/>
          <w:kern w:val="2"/>
          <w:sz w:val="32"/>
          <w:szCs w:val="22"/>
        </w:rPr>
      </w:pPr>
      <w:r>
        <w:rPr>
          <w:rFonts w:ascii="Times New Roman" w:hAnsi="Times New Roman" w:eastAsia="方正仿宋简体" w:cs="Times New Roman"/>
          <w:snapToGrid/>
          <w:kern w:val="2"/>
          <w:sz w:val="32"/>
          <w:szCs w:val="22"/>
        </w:rPr>
        <w:t xml:space="preserve">   </w:t>
      </w:r>
    </w:p>
    <w:p w14:paraId="7BD01773">
      <w:pPr>
        <w:widowControl w:val="0"/>
        <w:kinsoku/>
        <w:autoSpaceDE/>
        <w:autoSpaceDN/>
        <w:adjustRightInd/>
        <w:snapToGrid/>
        <w:ind w:firstLine="420" w:firstLineChars="150"/>
        <w:jc w:val="both"/>
        <w:textAlignment w:val="auto"/>
        <w:rPr>
          <w:rFonts w:ascii="Times New Roman" w:hAnsi="Times New Roman" w:eastAsia="方正仿宋简体" w:cs="Times New Roman"/>
          <w:snapToGrid/>
          <w:kern w:val="2"/>
          <w:sz w:val="28"/>
          <w:szCs w:val="22"/>
        </w:rPr>
      </w:pPr>
    </w:p>
    <w:p w14:paraId="1A66D084">
      <w:pPr>
        <w:widowControl w:val="0"/>
        <w:kinsoku/>
        <w:autoSpaceDE/>
        <w:autoSpaceDN/>
        <w:adjustRightInd/>
        <w:snapToGrid/>
        <w:spacing w:line="360" w:lineRule="auto"/>
        <w:jc w:val="center"/>
        <w:textAlignment w:val="auto"/>
        <w:rPr>
          <w:rFonts w:ascii="Times New Roman" w:hAnsi="Times New Roman" w:eastAsia="仿宋_GB2312" w:cs="Times New Roman"/>
          <w:snapToGrid/>
          <w:kern w:val="2"/>
          <w:sz w:val="30"/>
          <w:szCs w:val="22"/>
        </w:rPr>
      </w:pPr>
      <w:r>
        <w:rPr>
          <w:rFonts w:hint="eastAsia" w:ascii="Times New Roman" w:hAnsi="Times New Roman" w:eastAsia="仿宋_GB2312" w:cs="Times New Roman"/>
          <w:snapToGrid/>
          <w:kern w:val="2"/>
          <w:sz w:val="30"/>
          <w:szCs w:val="22"/>
        </w:rPr>
        <w:t>湖南省</w:t>
      </w:r>
      <w:r>
        <w:rPr>
          <w:rFonts w:ascii="Times New Roman" w:hAnsi="Times New Roman" w:eastAsia="仿宋_GB2312" w:cs="Times New Roman"/>
          <w:snapToGrid/>
          <w:kern w:val="2"/>
          <w:sz w:val="30"/>
          <w:szCs w:val="22"/>
        </w:rPr>
        <w:t>工业和信息化</w:t>
      </w:r>
      <w:r>
        <w:rPr>
          <w:rFonts w:hint="eastAsia" w:ascii="Times New Roman" w:hAnsi="Times New Roman" w:eastAsia="仿宋_GB2312" w:cs="Times New Roman"/>
          <w:snapToGrid/>
          <w:kern w:val="2"/>
          <w:sz w:val="30"/>
          <w:szCs w:val="22"/>
        </w:rPr>
        <w:t>厅</w:t>
      </w:r>
      <w:r>
        <w:rPr>
          <w:rFonts w:ascii="Times New Roman" w:hAnsi="Times New Roman" w:eastAsia="仿宋_GB2312" w:cs="Times New Roman"/>
          <w:snapToGrid/>
          <w:kern w:val="2"/>
          <w:sz w:val="30"/>
          <w:szCs w:val="22"/>
        </w:rPr>
        <w:t>制</w:t>
      </w:r>
    </w:p>
    <w:p w14:paraId="70004E7F">
      <w:pPr>
        <w:widowControl w:val="0"/>
        <w:kinsoku/>
        <w:autoSpaceDE/>
        <w:autoSpaceDN/>
        <w:adjustRightInd/>
        <w:snapToGrid/>
        <w:jc w:val="center"/>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snapToGrid/>
          <w:kern w:val="2"/>
          <w:sz w:val="30"/>
          <w:szCs w:val="22"/>
        </w:rPr>
        <w:t>20  年    月    日</w:t>
      </w:r>
    </w:p>
    <w:p w14:paraId="40EF4A7A">
      <w:pPr>
        <w:widowControl w:val="0"/>
        <w:kinsoku/>
        <w:autoSpaceDE/>
        <w:autoSpaceDN/>
        <w:adjustRightInd/>
        <w:snapToGrid/>
        <w:spacing w:line="360" w:lineRule="auto"/>
        <w:jc w:val="center"/>
        <w:textAlignment w:val="auto"/>
        <w:rPr>
          <w:rFonts w:ascii="Times New Roman" w:hAnsi="Times New Roman" w:eastAsia="方正小标宋简体" w:cs="Times New Roman"/>
          <w:bCs/>
          <w:snapToGrid/>
          <w:kern w:val="2"/>
          <w:sz w:val="40"/>
          <w:szCs w:val="40"/>
        </w:rPr>
      </w:pPr>
      <w:r>
        <w:rPr>
          <w:rFonts w:ascii="Times New Roman" w:hAnsi="Times New Roman" w:eastAsia="黑体" w:cs="Times New Roman"/>
          <w:bCs/>
          <w:snapToGrid/>
          <w:kern w:val="2"/>
          <w:sz w:val="36"/>
          <w:szCs w:val="36"/>
        </w:rPr>
        <w:br w:type="page"/>
      </w:r>
      <w:r>
        <w:rPr>
          <w:rFonts w:ascii="Times New Roman" w:hAnsi="Times New Roman" w:eastAsia="方正小标宋简体" w:cs="Times New Roman"/>
          <w:bCs/>
          <w:snapToGrid/>
          <w:kern w:val="2"/>
          <w:sz w:val="40"/>
          <w:szCs w:val="40"/>
        </w:rPr>
        <w:t>基本信息表</w:t>
      </w:r>
    </w:p>
    <w:tbl>
      <w:tblPr>
        <w:tblStyle w:val="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489"/>
        <w:gridCol w:w="1867"/>
        <w:gridCol w:w="2544"/>
      </w:tblGrid>
      <w:tr w14:paraId="457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14:paraId="5A3C81CE">
            <w:pPr>
              <w:kinsoku/>
              <w:autoSpaceDE/>
              <w:autoSpaceDN/>
              <w:adjustRightInd/>
              <w:snapToGrid/>
              <w:textAlignment w:val="auto"/>
              <w:rPr>
                <w:rFonts w:ascii="Times New Roman" w:hAnsi="Times New Roman" w:eastAsia="仿宋_GB2312" w:cs="Times New Roman"/>
                <w:b/>
                <w:snapToGrid/>
                <w:sz w:val="24"/>
                <w:szCs w:val="22"/>
              </w:rPr>
            </w:pPr>
            <w:r>
              <w:rPr>
                <w:rFonts w:ascii="Times New Roman" w:hAnsi="Times New Roman" w:eastAsia="仿宋_GB2312" w:cs="Times New Roman"/>
                <w:b/>
                <w:snapToGrid/>
                <w:sz w:val="24"/>
                <w:szCs w:val="22"/>
              </w:rPr>
              <w:t>一、工厂基本信息</w:t>
            </w:r>
          </w:p>
        </w:tc>
      </w:tr>
      <w:tr w14:paraId="21DB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09E5C0B1">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工厂名称</w:t>
            </w:r>
          </w:p>
        </w:tc>
        <w:tc>
          <w:tcPr>
            <w:tcW w:w="6287" w:type="dxa"/>
            <w:gridSpan w:val="3"/>
            <w:noWrap w:val="0"/>
            <w:vAlign w:val="center"/>
          </w:tcPr>
          <w:p w14:paraId="07025277">
            <w:pPr>
              <w:kinsoku/>
              <w:autoSpaceDE/>
              <w:autoSpaceDN/>
              <w:adjustRightInd/>
              <w:snapToGrid/>
              <w:jc w:val="center"/>
              <w:textAlignment w:val="auto"/>
              <w:rPr>
                <w:rFonts w:ascii="Times New Roman" w:hAnsi="Times New Roman" w:eastAsia="仿宋_GB2312" w:cs="Times New Roman"/>
                <w:snapToGrid/>
                <w:sz w:val="24"/>
                <w:szCs w:val="22"/>
              </w:rPr>
            </w:pPr>
          </w:p>
        </w:tc>
      </w:tr>
      <w:tr w14:paraId="0723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21A0C9F9">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工厂地址</w:t>
            </w:r>
          </w:p>
        </w:tc>
        <w:tc>
          <w:tcPr>
            <w:tcW w:w="6287" w:type="dxa"/>
            <w:gridSpan w:val="3"/>
            <w:noWrap w:val="0"/>
            <w:vAlign w:val="center"/>
          </w:tcPr>
          <w:p w14:paraId="4E1915FF">
            <w:pPr>
              <w:kinsoku/>
              <w:autoSpaceDE/>
              <w:autoSpaceDN/>
              <w:adjustRightInd/>
              <w:snapToGrid/>
              <w:jc w:val="center"/>
              <w:textAlignment w:val="auto"/>
              <w:rPr>
                <w:rFonts w:ascii="Times New Roman" w:hAnsi="Times New Roman" w:eastAsia="仿宋_GB2312" w:cs="Times New Roman"/>
                <w:snapToGrid/>
                <w:sz w:val="24"/>
                <w:szCs w:val="22"/>
              </w:rPr>
            </w:pPr>
          </w:p>
        </w:tc>
      </w:tr>
      <w:tr w14:paraId="284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36A3C817">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所属行业</w:t>
            </w:r>
          </w:p>
        </w:tc>
        <w:tc>
          <w:tcPr>
            <w:tcW w:w="2268" w:type="dxa"/>
            <w:noWrap w:val="0"/>
            <w:vAlign w:val="center"/>
          </w:tcPr>
          <w:p w14:paraId="1AC5C0C2">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48748EC8">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主要产品</w:t>
            </w:r>
          </w:p>
        </w:tc>
        <w:tc>
          <w:tcPr>
            <w:tcW w:w="2318" w:type="dxa"/>
            <w:noWrap w:val="0"/>
            <w:vAlign w:val="center"/>
          </w:tcPr>
          <w:p w14:paraId="545D3506">
            <w:pPr>
              <w:kinsoku/>
              <w:autoSpaceDE/>
              <w:autoSpaceDN/>
              <w:adjustRightInd/>
              <w:snapToGrid/>
              <w:jc w:val="center"/>
              <w:textAlignment w:val="auto"/>
              <w:rPr>
                <w:rFonts w:ascii="Times New Roman" w:hAnsi="Times New Roman" w:eastAsia="仿宋_GB2312" w:cs="Times New Roman"/>
                <w:snapToGrid/>
                <w:sz w:val="24"/>
                <w:szCs w:val="22"/>
              </w:rPr>
            </w:pPr>
          </w:p>
        </w:tc>
      </w:tr>
      <w:tr w14:paraId="1888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6D9ACCEE">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单位性质</w:t>
            </w:r>
          </w:p>
        </w:tc>
        <w:tc>
          <w:tcPr>
            <w:tcW w:w="6287" w:type="dxa"/>
            <w:gridSpan w:val="3"/>
            <w:noWrap w:val="0"/>
            <w:vAlign w:val="center"/>
          </w:tcPr>
          <w:p w14:paraId="7C4C2C9F">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内资（□国有□集体□民营）□中外合资□港澳台□外商独资</w:t>
            </w:r>
          </w:p>
        </w:tc>
      </w:tr>
      <w:tr w14:paraId="08B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13863322">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工厂法定代表人</w:t>
            </w:r>
          </w:p>
        </w:tc>
        <w:tc>
          <w:tcPr>
            <w:tcW w:w="2268" w:type="dxa"/>
            <w:noWrap w:val="0"/>
            <w:vAlign w:val="center"/>
          </w:tcPr>
          <w:p w14:paraId="57BED57A">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752D55A2">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法人代表电话</w:t>
            </w:r>
          </w:p>
        </w:tc>
        <w:tc>
          <w:tcPr>
            <w:tcW w:w="2318" w:type="dxa"/>
            <w:noWrap w:val="0"/>
            <w:vAlign w:val="center"/>
          </w:tcPr>
          <w:p w14:paraId="5A6A7DC9">
            <w:pPr>
              <w:kinsoku/>
              <w:autoSpaceDE/>
              <w:autoSpaceDN/>
              <w:adjustRightInd/>
              <w:snapToGrid/>
              <w:jc w:val="center"/>
              <w:textAlignment w:val="auto"/>
              <w:rPr>
                <w:rFonts w:ascii="Times New Roman" w:hAnsi="Times New Roman" w:eastAsia="仿宋_GB2312" w:cs="Times New Roman"/>
                <w:snapToGrid/>
                <w:sz w:val="24"/>
                <w:szCs w:val="22"/>
              </w:rPr>
            </w:pPr>
          </w:p>
        </w:tc>
      </w:tr>
      <w:tr w14:paraId="0E17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372F4D26">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工厂联系人</w:t>
            </w:r>
          </w:p>
        </w:tc>
        <w:tc>
          <w:tcPr>
            <w:tcW w:w="2268" w:type="dxa"/>
            <w:noWrap w:val="0"/>
            <w:vAlign w:val="center"/>
          </w:tcPr>
          <w:p w14:paraId="5B2C3D00">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4130DDFB">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联系人电话</w:t>
            </w:r>
          </w:p>
        </w:tc>
        <w:tc>
          <w:tcPr>
            <w:tcW w:w="2318" w:type="dxa"/>
            <w:noWrap w:val="0"/>
            <w:vAlign w:val="center"/>
          </w:tcPr>
          <w:p w14:paraId="4197A7B4">
            <w:pPr>
              <w:kinsoku/>
              <w:autoSpaceDE/>
              <w:autoSpaceDN/>
              <w:adjustRightInd/>
              <w:snapToGrid/>
              <w:jc w:val="center"/>
              <w:textAlignment w:val="auto"/>
              <w:rPr>
                <w:rFonts w:ascii="Times New Roman" w:hAnsi="Times New Roman" w:eastAsia="仿宋_GB2312" w:cs="Times New Roman"/>
                <w:snapToGrid/>
                <w:sz w:val="24"/>
                <w:szCs w:val="22"/>
              </w:rPr>
            </w:pPr>
          </w:p>
        </w:tc>
      </w:tr>
      <w:tr w14:paraId="10FE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6F35BFE3">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电子邮件</w:t>
            </w:r>
          </w:p>
        </w:tc>
        <w:tc>
          <w:tcPr>
            <w:tcW w:w="2268" w:type="dxa"/>
            <w:noWrap w:val="0"/>
            <w:vAlign w:val="center"/>
          </w:tcPr>
          <w:p w14:paraId="32669140">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75BE5754">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传真</w:t>
            </w:r>
          </w:p>
        </w:tc>
        <w:tc>
          <w:tcPr>
            <w:tcW w:w="2318" w:type="dxa"/>
            <w:noWrap w:val="0"/>
            <w:vAlign w:val="center"/>
          </w:tcPr>
          <w:p w14:paraId="0F21E01F">
            <w:pPr>
              <w:kinsoku/>
              <w:autoSpaceDE/>
              <w:autoSpaceDN/>
              <w:adjustRightInd/>
              <w:snapToGrid/>
              <w:jc w:val="center"/>
              <w:textAlignment w:val="auto"/>
              <w:rPr>
                <w:rFonts w:ascii="Times New Roman" w:hAnsi="Times New Roman" w:eastAsia="仿宋_GB2312" w:cs="Times New Roman"/>
                <w:snapToGrid/>
                <w:sz w:val="24"/>
                <w:szCs w:val="22"/>
              </w:rPr>
            </w:pPr>
          </w:p>
        </w:tc>
      </w:tr>
      <w:tr w14:paraId="4EA8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14:paraId="32EC936F">
            <w:pPr>
              <w:kinsoku/>
              <w:autoSpaceDE/>
              <w:autoSpaceDN/>
              <w:adjustRightInd/>
              <w:snapToGrid/>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二、第三方机构信息</w:t>
            </w:r>
          </w:p>
        </w:tc>
      </w:tr>
      <w:tr w14:paraId="1FAA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41C7368B">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第三方机构名称</w:t>
            </w:r>
          </w:p>
        </w:tc>
        <w:tc>
          <w:tcPr>
            <w:tcW w:w="6287" w:type="dxa"/>
            <w:gridSpan w:val="3"/>
            <w:noWrap w:val="0"/>
            <w:vAlign w:val="center"/>
          </w:tcPr>
          <w:p w14:paraId="6DC63187">
            <w:pPr>
              <w:kinsoku/>
              <w:autoSpaceDE/>
              <w:autoSpaceDN/>
              <w:adjustRightInd/>
              <w:snapToGrid/>
              <w:jc w:val="center"/>
              <w:textAlignment w:val="auto"/>
              <w:rPr>
                <w:rFonts w:ascii="Times New Roman" w:hAnsi="Times New Roman" w:eastAsia="仿宋_GB2312" w:cs="Times New Roman"/>
                <w:snapToGrid/>
                <w:sz w:val="24"/>
                <w:szCs w:val="22"/>
              </w:rPr>
            </w:pPr>
          </w:p>
        </w:tc>
      </w:tr>
      <w:tr w14:paraId="0521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6F0C3539">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第三方机构地址</w:t>
            </w:r>
          </w:p>
        </w:tc>
        <w:tc>
          <w:tcPr>
            <w:tcW w:w="6287" w:type="dxa"/>
            <w:gridSpan w:val="3"/>
            <w:noWrap w:val="0"/>
            <w:vAlign w:val="center"/>
          </w:tcPr>
          <w:p w14:paraId="1C86A2EF">
            <w:pPr>
              <w:kinsoku/>
              <w:autoSpaceDE/>
              <w:autoSpaceDN/>
              <w:adjustRightInd/>
              <w:snapToGrid/>
              <w:jc w:val="center"/>
              <w:textAlignment w:val="auto"/>
              <w:rPr>
                <w:rFonts w:ascii="Times New Roman" w:hAnsi="Times New Roman" w:eastAsia="仿宋_GB2312" w:cs="Times New Roman"/>
                <w:snapToGrid/>
                <w:sz w:val="24"/>
                <w:szCs w:val="22"/>
              </w:rPr>
            </w:pPr>
          </w:p>
        </w:tc>
      </w:tr>
      <w:tr w14:paraId="00DA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1C7A431C">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机构法定代表人</w:t>
            </w:r>
          </w:p>
        </w:tc>
        <w:tc>
          <w:tcPr>
            <w:tcW w:w="2268" w:type="dxa"/>
            <w:noWrap w:val="0"/>
            <w:vAlign w:val="center"/>
          </w:tcPr>
          <w:p w14:paraId="4BD2B524">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0F33BF6C">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法人代表电话</w:t>
            </w:r>
          </w:p>
        </w:tc>
        <w:tc>
          <w:tcPr>
            <w:tcW w:w="2318" w:type="dxa"/>
            <w:noWrap w:val="0"/>
            <w:vAlign w:val="center"/>
          </w:tcPr>
          <w:p w14:paraId="1F2BBF4D">
            <w:pPr>
              <w:kinsoku/>
              <w:autoSpaceDE/>
              <w:autoSpaceDN/>
              <w:adjustRightInd/>
              <w:snapToGrid/>
              <w:jc w:val="center"/>
              <w:textAlignment w:val="auto"/>
              <w:rPr>
                <w:rFonts w:ascii="Times New Roman" w:hAnsi="Times New Roman" w:eastAsia="仿宋_GB2312" w:cs="Times New Roman"/>
                <w:snapToGrid/>
                <w:sz w:val="24"/>
                <w:szCs w:val="22"/>
              </w:rPr>
            </w:pPr>
          </w:p>
        </w:tc>
      </w:tr>
      <w:tr w14:paraId="5367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2FE823E4">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机构联系人</w:t>
            </w:r>
          </w:p>
        </w:tc>
        <w:tc>
          <w:tcPr>
            <w:tcW w:w="2268" w:type="dxa"/>
            <w:noWrap w:val="0"/>
            <w:vAlign w:val="center"/>
          </w:tcPr>
          <w:p w14:paraId="2E0F7552">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1DC2D325">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联系人电话</w:t>
            </w:r>
          </w:p>
        </w:tc>
        <w:tc>
          <w:tcPr>
            <w:tcW w:w="2318" w:type="dxa"/>
            <w:noWrap w:val="0"/>
            <w:vAlign w:val="center"/>
          </w:tcPr>
          <w:p w14:paraId="04DC4D2A">
            <w:pPr>
              <w:kinsoku/>
              <w:autoSpaceDE/>
              <w:autoSpaceDN/>
              <w:adjustRightInd/>
              <w:snapToGrid/>
              <w:jc w:val="center"/>
              <w:textAlignment w:val="auto"/>
              <w:rPr>
                <w:rFonts w:ascii="Times New Roman" w:hAnsi="Times New Roman" w:eastAsia="仿宋_GB2312" w:cs="Times New Roman"/>
                <w:snapToGrid/>
                <w:sz w:val="24"/>
                <w:szCs w:val="22"/>
              </w:rPr>
            </w:pPr>
          </w:p>
        </w:tc>
      </w:tr>
      <w:tr w14:paraId="338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400F51A5">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报告编制负责人</w:t>
            </w:r>
          </w:p>
        </w:tc>
        <w:tc>
          <w:tcPr>
            <w:tcW w:w="2268" w:type="dxa"/>
            <w:noWrap w:val="0"/>
            <w:vAlign w:val="center"/>
          </w:tcPr>
          <w:p w14:paraId="1323B551">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010D5E8D">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负责人电话</w:t>
            </w:r>
          </w:p>
        </w:tc>
        <w:tc>
          <w:tcPr>
            <w:tcW w:w="2318" w:type="dxa"/>
            <w:noWrap w:val="0"/>
            <w:vAlign w:val="center"/>
          </w:tcPr>
          <w:p w14:paraId="639F7DE7">
            <w:pPr>
              <w:kinsoku/>
              <w:autoSpaceDE/>
              <w:autoSpaceDN/>
              <w:adjustRightInd/>
              <w:snapToGrid/>
              <w:jc w:val="center"/>
              <w:textAlignment w:val="auto"/>
              <w:rPr>
                <w:rFonts w:ascii="Times New Roman" w:hAnsi="Times New Roman" w:eastAsia="仿宋_GB2312" w:cs="Times New Roman"/>
                <w:snapToGrid/>
                <w:sz w:val="24"/>
                <w:szCs w:val="22"/>
              </w:rPr>
            </w:pPr>
          </w:p>
        </w:tc>
      </w:tr>
      <w:tr w14:paraId="5E97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207C5075">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报告审核人</w:t>
            </w:r>
          </w:p>
        </w:tc>
        <w:tc>
          <w:tcPr>
            <w:tcW w:w="2268" w:type="dxa"/>
            <w:noWrap w:val="0"/>
            <w:vAlign w:val="center"/>
          </w:tcPr>
          <w:p w14:paraId="0F5CD166">
            <w:pPr>
              <w:kinsoku/>
              <w:autoSpaceDE/>
              <w:autoSpaceDN/>
              <w:adjustRightInd/>
              <w:snapToGrid/>
              <w:jc w:val="center"/>
              <w:textAlignment w:val="auto"/>
              <w:rPr>
                <w:rFonts w:ascii="Times New Roman" w:hAnsi="Times New Roman" w:eastAsia="仿宋_GB2312" w:cs="Times New Roman"/>
                <w:snapToGrid/>
                <w:sz w:val="24"/>
                <w:szCs w:val="22"/>
              </w:rPr>
            </w:pPr>
          </w:p>
        </w:tc>
        <w:tc>
          <w:tcPr>
            <w:tcW w:w="1701" w:type="dxa"/>
            <w:noWrap w:val="0"/>
            <w:vAlign w:val="center"/>
          </w:tcPr>
          <w:p w14:paraId="217AC9BD">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审核人电话</w:t>
            </w:r>
          </w:p>
        </w:tc>
        <w:tc>
          <w:tcPr>
            <w:tcW w:w="2318" w:type="dxa"/>
            <w:noWrap w:val="0"/>
            <w:vAlign w:val="center"/>
          </w:tcPr>
          <w:p w14:paraId="01822C23">
            <w:pPr>
              <w:kinsoku/>
              <w:autoSpaceDE/>
              <w:autoSpaceDN/>
              <w:adjustRightInd/>
              <w:snapToGrid/>
              <w:jc w:val="center"/>
              <w:textAlignment w:val="auto"/>
              <w:rPr>
                <w:rFonts w:ascii="Times New Roman" w:hAnsi="Times New Roman" w:eastAsia="仿宋_GB2312" w:cs="Times New Roman"/>
                <w:snapToGrid/>
                <w:sz w:val="24"/>
                <w:szCs w:val="22"/>
              </w:rPr>
            </w:pPr>
          </w:p>
        </w:tc>
      </w:tr>
      <w:tr w14:paraId="059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14:paraId="06B15205">
            <w:pPr>
              <w:kinsoku/>
              <w:autoSpaceDE/>
              <w:autoSpaceDN/>
              <w:adjustRightInd/>
              <w:snapToGrid/>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三、绿色工厂评价结果</w:t>
            </w:r>
          </w:p>
        </w:tc>
      </w:tr>
      <w:tr w14:paraId="28E5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14:paraId="58D7E04C">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基本要求</w:t>
            </w:r>
          </w:p>
        </w:tc>
        <w:tc>
          <w:tcPr>
            <w:tcW w:w="2268" w:type="dxa"/>
            <w:noWrap w:val="0"/>
            <w:vAlign w:val="center"/>
          </w:tcPr>
          <w:p w14:paraId="6934635E">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□符合  □不符合</w:t>
            </w:r>
          </w:p>
        </w:tc>
        <w:tc>
          <w:tcPr>
            <w:tcW w:w="1701" w:type="dxa"/>
            <w:noWrap w:val="0"/>
            <w:vAlign w:val="center"/>
          </w:tcPr>
          <w:p w14:paraId="75511427">
            <w:pPr>
              <w:kinsoku/>
              <w:autoSpaceDE/>
              <w:autoSpaceDN/>
              <w:adjustRightInd/>
              <w:snapToGrid/>
              <w:jc w:val="center"/>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指标得分</w:t>
            </w:r>
          </w:p>
        </w:tc>
        <w:tc>
          <w:tcPr>
            <w:tcW w:w="2318" w:type="dxa"/>
            <w:noWrap w:val="0"/>
            <w:vAlign w:val="center"/>
          </w:tcPr>
          <w:p w14:paraId="7566A868">
            <w:pPr>
              <w:kinsoku/>
              <w:autoSpaceDE/>
              <w:autoSpaceDN/>
              <w:adjustRightInd/>
              <w:snapToGrid/>
              <w:jc w:val="center"/>
              <w:textAlignment w:val="auto"/>
              <w:rPr>
                <w:rFonts w:ascii="Times New Roman" w:hAnsi="Times New Roman" w:eastAsia="仿宋_GB2312" w:cs="Times New Roman"/>
                <w:snapToGrid/>
                <w:sz w:val="24"/>
                <w:szCs w:val="22"/>
              </w:rPr>
            </w:pPr>
          </w:p>
        </w:tc>
      </w:tr>
      <w:tr w14:paraId="2628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14:paraId="4AC92526">
            <w:pPr>
              <w:kinsoku/>
              <w:autoSpaceDE/>
              <w:autoSpaceDN/>
              <w:adjustRightInd/>
              <w:snapToGrid/>
              <w:spacing w:line="360" w:lineRule="auto"/>
              <w:ind w:firstLine="480" w:firstLineChars="200"/>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本机构承诺，已对申请单位材料进行了全面审核，材料真实有效，第三方评价程序规范完整，结论客观公正。评价报告若存在弄虚作假，本机构愿承担责任。</w:t>
            </w:r>
          </w:p>
          <w:p w14:paraId="035607CC">
            <w:pPr>
              <w:kinsoku/>
              <w:wordWrap w:val="0"/>
              <w:autoSpaceDE/>
              <w:autoSpaceDN/>
              <w:adjustRightInd/>
              <w:snapToGrid/>
              <w:spacing w:line="360" w:lineRule="auto"/>
              <w:ind w:right="240"/>
              <w:jc w:val="right"/>
              <w:textAlignment w:val="auto"/>
              <w:rPr>
                <w:rFonts w:ascii="Times New Roman" w:hAnsi="Times New Roman" w:eastAsia="仿宋_GB2312" w:cs="Times New Roman"/>
                <w:b/>
                <w:snapToGrid/>
                <w:sz w:val="24"/>
                <w:szCs w:val="22"/>
              </w:rPr>
            </w:pPr>
          </w:p>
          <w:p w14:paraId="005BA7FF">
            <w:pPr>
              <w:kinsoku/>
              <w:wordWrap w:val="0"/>
              <w:autoSpaceDE/>
              <w:autoSpaceDN/>
              <w:adjustRightInd/>
              <w:snapToGrid/>
              <w:spacing w:line="360" w:lineRule="auto"/>
              <w:ind w:right="240"/>
              <w:jc w:val="right"/>
              <w:textAlignment w:val="auto"/>
              <w:rPr>
                <w:rFonts w:ascii="Times New Roman" w:hAnsi="Times New Roman" w:eastAsia="仿宋_GB2312" w:cs="Times New Roman"/>
                <w:b/>
                <w:snapToGrid/>
                <w:sz w:val="24"/>
                <w:szCs w:val="22"/>
              </w:rPr>
            </w:pPr>
            <w:r>
              <w:rPr>
                <w:rFonts w:ascii="Times New Roman" w:hAnsi="Times New Roman" w:eastAsia="仿宋_GB2312" w:cs="Times New Roman"/>
                <w:b/>
                <w:snapToGrid/>
                <w:sz w:val="24"/>
                <w:szCs w:val="22"/>
              </w:rPr>
              <w:t xml:space="preserve">负责人签字：             </w:t>
            </w:r>
          </w:p>
          <w:p w14:paraId="65F999BE">
            <w:pPr>
              <w:kinsoku/>
              <w:wordWrap w:val="0"/>
              <w:autoSpaceDE/>
              <w:autoSpaceDN/>
              <w:adjustRightInd/>
              <w:snapToGrid/>
              <w:spacing w:line="360" w:lineRule="auto"/>
              <w:jc w:val="right"/>
              <w:textAlignment w:val="auto"/>
              <w:rPr>
                <w:rFonts w:ascii="Times New Roman" w:hAnsi="Times New Roman" w:eastAsia="仿宋_GB2312" w:cs="Times New Roman"/>
                <w:snapToGrid/>
                <w:sz w:val="24"/>
                <w:szCs w:val="22"/>
              </w:rPr>
            </w:pPr>
            <w:r>
              <w:rPr>
                <w:rFonts w:ascii="Times New Roman" w:hAnsi="Times New Roman" w:eastAsia="仿宋_GB2312" w:cs="Times New Roman"/>
                <w:b/>
                <w:snapToGrid/>
                <w:sz w:val="24"/>
                <w:szCs w:val="22"/>
              </w:rPr>
              <w:t>（单位公章）</w:t>
            </w:r>
            <w:r>
              <w:rPr>
                <w:rFonts w:ascii="Times New Roman" w:hAnsi="Times New Roman" w:eastAsia="仿宋_GB2312" w:cs="Times New Roman"/>
                <w:snapToGrid/>
                <w:sz w:val="24"/>
                <w:szCs w:val="22"/>
              </w:rPr>
              <w:t xml:space="preserve">               </w:t>
            </w:r>
          </w:p>
          <w:p w14:paraId="02A1E003">
            <w:pPr>
              <w:kinsoku/>
              <w:autoSpaceDE/>
              <w:autoSpaceDN/>
              <w:adjustRightInd/>
              <w:snapToGrid/>
              <w:jc w:val="center"/>
              <w:textAlignment w:val="auto"/>
              <w:rPr>
                <w:rFonts w:ascii="Times New Roman" w:hAnsi="Times New Roman" w:eastAsia="仿宋_GB2312" w:cs="Times New Roman"/>
                <w:snapToGrid/>
                <w:sz w:val="24"/>
                <w:szCs w:val="22"/>
              </w:rPr>
            </w:pPr>
          </w:p>
        </w:tc>
      </w:tr>
    </w:tbl>
    <w:p w14:paraId="4F3D4380">
      <w:pPr>
        <w:widowControl w:val="0"/>
        <w:kinsoku/>
        <w:autoSpaceDE/>
        <w:autoSpaceDN/>
        <w:adjustRightInd/>
        <w:spacing w:line="560" w:lineRule="exact"/>
        <w:jc w:val="center"/>
        <w:textAlignment w:val="auto"/>
        <w:outlineLvl w:val="0"/>
        <w:rPr>
          <w:rFonts w:ascii="Times New Roman" w:hAnsi="Times New Roman" w:eastAsia="方正小标宋简体" w:cs="Times New Roman"/>
          <w:bCs/>
          <w:snapToGrid/>
          <w:kern w:val="2"/>
          <w:sz w:val="40"/>
          <w:szCs w:val="40"/>
        </w:rPr>
      </w:pPr>
      <w:r>
        <w:rPr>
          <w:rFonts w:ascii="Times New Roman" w:hAnsi="Times New Roman" w:eastAsia="黑体" w:cs="Times New Roman"/>
          <w:bCs/>
          <w:snapToGrid/>
          <w:kern w:val="2"/>
          <w:sz w:val="44"/>
          <w:szCs w:val="44"/>
        </w:rPr>
        <w:br w:type="page"/>
      </w:r>
      <w:r>
        <w:rPr>
          <w:rFonts w:ascii="Times New Roman" w:hAnsi="Times New Roman" w:eastAsia="方正小标宋简体" w:cs="Times New Roman"/>
          <w:bCs/>
          <w:snapToGrid/>
          <w:kern w:val="2"/>
          <w:sz w:val="40"/>
          <w:szCs w:val="40"/>
        </w:rPr>
        <w:t>绿色工厂评价报告</w:t>
      </w:r>
      <w:r>
        <w:rPr>
          <w:rFonts w:ascii="Times New Roman" w:hAnsi="Times New Roman" w:eastAsia="方正大标宋简体" w:cs="Times New Roman"/>
          <w:bCs/>
          <w:snapToGrid/>
          <w:kern w:val="2"/>
          <w:sz w:val="40"/>
          <w:szCs w:val="40"/>
        </w:rPr>
        <w:t>（</w:t>
      </w:r>
      <w:r>
        <w:rPr>
          <w:rFonts w:ascii="Times New Roman" w:hAnsi="Times New Roman" w:eastAsia="楷体" w:cs="Times New Roman"/>
          <w:bCs/>
          <w:snapToGrid/>
          <w:kern w:val="2"/>
          <w:sz w:val="40"/>
          <w:szCs w:val="40"/>
        </w:rPr>
        <w:t>格式</w:t>
      </w:r>
      <w:r>
        <w:rPr>
          <w:rFonts w:ascii="Times New Roman" w:hAnsi="Times New Roman" w:eastAsia="方正大标宋简体" w:cs="Times New Roman"/>
          <w:bCs/>
          <w:snapToGrid/>
          <w:kern w:val="2"/>
          <w:sz w:val="40"/>
          <w:szCs w:val="40"/>
        </w:rPr>
        <w:t>）</w:t>
      </w:r>
    </w:p>
    <w:p w14:paraId="1594C6D4">
      <w:pPr>
        <w:widowControl w:val="0"/>
        <w:kinsoku/>
        <w:autoSpaceDE/>
        <w:autoSpaceDN/>
        <w:adjustRightInd/>
        <w:spacing w:line="560" w:lineRule="exact"/>
        <w:jc w:val="center"/>
        <w:textAlignment w:val="auto"/>
        <w:outlineLvl w:val="0"/>
        <w:rPr>
          <w:rFonts w:ascii="Times New Roman" w:hAnsi="Times New Roman" w:eastAsia="方正小标宋简体" w:cs="Times New Roman"/>
          <w:bCs/>
          <w:snapToGrid/>
          <w:kern w:val="2"/>
          <w:sz w:val="40"/>
          <w:szCs w:val="40"/>
        </w:rPr>
      </w:pPr>
    </w:p>
    <w:p w14:paraId="27FEBDF6">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一、概述</w:t>
      </w:r>
    </w:p>
    <w:p w14:paraId="349BCAAA">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主要介绍绿色工厂评价的目的、范围及准则。</w:t>
      </w:r>
    </w:p>
    <w:p w14:paraId="591B7FC5">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二、评价过程和方法</w:t>
      </w:r>
    </w:p>
    <w:p w14:paraId="7EDD8CD9">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主要介绍评价组织安排、文件评审情况、现场评价情况、核查报告编写及内部技术复核情况。</w:t>
      </w:r>
    </w:p>
    <w:p w14:paraId="521338D6">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三、评价内容</w:t>
      </w:r>
    </w:p>
    <w:p w14:paraId="424B6006">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第三方应按以下内容对申报工厂材料进行评价：</w:t>
      </w:r>
    </w:p>
    <w:p w14:paraId="08C9C9D2">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1、对申报工厂的基础设施、管理体系、能源与资源投入、产品、环境排放、绩效等方面进行描述，并对工厂申报报告中的相关内容进行核实；</w:t>
      </w:r>
    </w:p>
    <w:p w14:paraId="38D620BC">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2、依据《绿色工厂评价要求》，核实数据真实性、计算范围及计算方法，检查相关计量设备和有关标准的落实等情况；</w:t>
      </w:r>
    </w:p>
    <w:p w14:paraId="62E561CE">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3、对企业自评所出现的问题情况进行描述。</w:t>
      </w:r>
    </w:p>
    <w:p w14:paraId="37FD5DA9">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四、评价结论</w:t>
      </w:r>
    </w:p>
    <w:p w14:paraId="16215F90">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对申报工厂是否符合绿色工厂要求进行评价，说明各评价指标值及是否符合评价要求情况，描述主要创建做法及工作亮点等。</w:t>
      </w:r>
    </w:p>
    <w:p w14:paraId="0590D817">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五、建议</w:t>
      </w:r>
    </w:p>
    <w:p w14:paraId="0EA7D638">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 w:cs="Times New Roman"/>
          <w:snapToGrid/>
          <w:kern w:val="2"/>
          <w:sz w:val="32"/>
          <w:szCs w:val="32"/>
        </w:rPr>
        <w:t>对工厂持续创建绿色工厂的下一步工作提出建议</w:t>
      </w:r>
      <w:r>
        <w:rPr>
          <w:rFonts w:ascii="Times New Roman" w:hAnsi="Times New Roman" w:eastAsia="仿宋_GB2312" w:cs="Times New Roman"/>
          <w:snapToGrid/>
          <w:kern w:val="2"/>
          <w:sz w:val="32"/>
          <w:szCs w:val="32"/>
        </w:rPr>
        <w:t>。</w:t>
      </w:r>
    </w:p>
    <w:p w14:paraId="11BB3CAC">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六、参考文件</w:t>
      </w:r>
    </w:p>
    <w:p w14:paraId="4F1085B0">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列出报告编写过程中所使用的相关参考文件（与附表2.1及附表2.2的证明材料索引一栏对应）。</w:t>
      </w:r>
    </w:p>
    <w:p w14:paraId="6FFE30B5">
      <w:pPr>
        <w:widowControl w:val="0"/>
        <w:kinsoku/>
        <w:autoSpaceDE/>
        <w:autoSpaceDN/>
        <w:adjustRightInd/>
        <w:snapToGrid/>
        <w:spacing w:line="600" w:lineRule="exact"/>
        <w:ind w:firstLine="640" w:firstLineChars="200"/>
        <w:jc w:val="both"/>
        <w:textAlignment w:val="auto"/>
        <w:rPr>
          <w:rFonts w:ascii="Times New Roman" w:hAnsi="Times New Roman" w:eastAsia="黑体" w:cs="Times New Roman"/>
          <w:bCs/>
          <w:snapToGrid/>
          <w:kern w:val="2"/>
          <w:sz w:val="32"/>
          <w:szCs w:val="32"/>
        </w:rPr>
      </w:pPr>
      <w:r>
        <w:rPr>
          <w:rFonts w:ascii="Times New Roman" w:hAnsi="Times New Roman" w:eastAsia="黑体" w:cs="Times New Roman"/>
          <w:bCs/>
          <w:snapToGrid/>
          <w:kern w:val="2"/>
          <w:sz w:val="32"/>
          <w:szCs w:val="32"/>
        </w:rPr>
        <w:t>七、第三方机构资质符合性证明材料</w:t>
      </w:r>
    </w:p>
    <w:p w14:paraId="35C6AE4A">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kern w:val="2"/>
          <w:sz w:val="32"/>
          <w:szCs w:val="32"/>
        </w:rPr>
      </w:pPr>
      <w:r>
        <w:rPr>
          <w:rFonts w:ascii="Times New Roman" w:hAnsi="Times New Roman" w:eastAsia="仿宋" w:cs="Times New Roman"/>
          <w:snapToGrid/>
          <w:kern w:val="2"/>
          <w:sz w:val="32"/>
          <w:szCs w:val="32"/>
        </w:rPr>
        <w:t>列出第三方机构满足条件的资质符合性证明材料。</w:t>
      </w:r>
    </w:p>
    <w:p w14:paraId="20692AC1">
      <w:pPr>
        <w:rPr>
          <w:rFonts w:ascii="Times New Roman" w:hAnsi="Times New Roman" w:eastAsia="仿宋" w:cs="Times New Roman"/>
          <w:sz w:val="32"/>
          <w:szCs w:val="32"/>
        </w:rPr>
        <w:sectPr>
          <w:pgSz w:w="11906" w:h="16838"/>
          <w:pgMar w:top="2098" w:right="1247" w:bottom="1417" w:left="1587" w:header="1361" w:footer="992" w:gutter="0"/>
          <w:pgNumType w:fmt="numberInDash"/>
          <w:cols w:space="720" w:num="1"/>
          <w:docGrid w:type="lines" w:linePitch="312" w:charSpace="0"/>
        </w:sectPr>
      </w:pPr>
    </w:p>
    <w:p w14:paraId="71493CA4">
      <w:pPr>
        <w:widowControl w:val="0"/>
        <w:kinsoku/>
        <w:autoSpaceDE/>
        <w:autoSpaceDN/>
        <w:adjustRightInd/>
        <w:snapToGrid/>
        <w:jc w:val="both"/>
        <w:textAlignment w:val="auto"/>
        <w:rPr>
          <w:rFonts w:ascii="Times New Roman" w:hAnsi="Times New Roman" w:eastAsia="黑体" w:cs="Times New Roman"/>
          <w:snapToGrid/>
          <w:kern w:val="2"/>
          <w:sz w:val="32"/>
          <w:szCs w:val="32"/>
        </w:rPr>
      </w:pPr>
      <w:r>
        <w:rPr>
          <w:rFonts w:ascii="Times New Roman" w:hAnsi="Times New Roman" w:eastAsia="黑体" w:cs="Times New Roman"/>
          <w:snapToGrid/>
          <w:kern w:val="2"/>
          <w:sz w:val="32"/>
          <w:szCs w:val="32"/>
        </w:rPr>
        <w:t>附表2.1</w:t>
      </w:r>
    </w:p>
    <w:p w14:paraId="2E904AC9">
      <w:pPr>
        <w:kinsoku/>
        <w:autoSpaceDE/>
        <w:autoSpaceDN/>
        <w:adjustRightInd/>
        <w:snapToGrid/>
        <w:jc w:val="center"/>
        <w:textAlignment w:val="auto"/>
        <w:rPr>
          <w:rFonts w:ascii="Times New Roman" w:hAnsi="Times New Roman" w:eastAsia="方正小标宋简体" w:cs="Times New Roman"/>
          <w:bCs/>
          <w:snapToGrid/>
          <w:kern w:val="2"/>
          <w:sz w:val="40"/>
          <w:szCs w:val="40"/>
        </w:rPr>
      </w:pPr>
      <w:r>
        <w:rPr>
          <w:rFonts w:ascii="Times New Roman" w:hAnsi="Times New Roman" w:eastAsia="方正小标宋简体" w:cs="Times New Roman"/>
          <w:bCs/>
          <w:snapToGrid/>
          <w:kern w:val="2"/>
          <w:sz w:val="40"/>
          <w:szCs w:val="40"/>
        </w:rPr>
        <w:t>绿色工厂基本要求第三方评价表</w:t>
      </w:r>
    </w:p>
    <w:p w14:paraId="115BA650">
      <w:pPr>
        <w:widowControl w:val="0"/>
        <w:kinsoku/>
        <w:snapToGrid/>
        <w:jc w:val="center"/>
        <w:textAlignment w:val="auto"/>
        <w:rPr>
          <w:rFonts w:ascii="Times New Roman" w:hAnsi="Times New Roman" w:eastAsia="仿宋" w:cs="Times New Roman"/>
          <w:b/>
          <w:snapToGrid/>
          <w:sz w:val="32"/>
          <w:szCs w:val="32"/>
        </w:rPr>
      </w:pPr>
      <w:r>
        <w:rPr>
          <w:rFonts w:ascii="Times New Roman" w:hAnsi="Times New Roman" w:eastAsia="仿宋" w:cs="Times New Roman"/>
          <w:b/>
          <w:snapToGrid/>
          <w:sz w:val="32"/>
          <w:szCs w:val="32"/>
        </w:rPr>
        <w:t>（20  年）</w:t>
      </w:r>
    </w:p>
    <w:tbl>
      <w:tblPr>
        <w:tblStyle w:val="3"/>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860"/>
        <w:gridCol w:w="7123"/>
        <w:gridCol w:w="1482"/>
        <w:gridCol w:w="4559"/>
      </w:tblGrid>
      <w:tr w14:paraId="33C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8435" w:type="dxa"/>
            <w:gridSpan w:val="2"/>
            <w:noWrap w:val="0"/>
            <w:vAlign w:val="center"/>
          </w:tcPr>
          <w:p w14:paraId="431D3604">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基本要求</w:t>
            </w:r>
          </w:p>
        </w:tc>
        <w:tc>
          <w:tcPr>
            <w:tcW w:w="1392" w:type="dxa"/>
            <w:noWrap w:val="0"/>
            <w:vAlign w:val="center"/>
          </w:tcPr>
          <w:p w14:paraId="11008454">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是否符合</w:t>
            </w:r>
          </w:p>
        </w:tc>
        <w:tc>
          <w:tcPr>
            <w:tcW w:w="4281" w:type="dxa"/>
            <w:noWrap w:val="0"/>
            <w:vAlign w:val="center"/>
          </w:tcPr>
          <w:p w14:paraId="34232771">
            <w:pPr>
              <w:widowControl w:val="0"/>
              <w:kinsoku/>
              <w:autoSpaceDE/>
              <w:autoSpaceDN/>
              <w:adjustRightInd/>
              <w:snapToGrid/>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符合性说明及证明材料索引</w:t>
            </w:r>
          </w:p>
        </w:tc>
      </w:tr>
      <w:tr w14:paraId="6FB0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jc w:val="center"/>
        </w:trPr>
        <w:tc>
          <w:tcPr>
            <w:tcW w:w="1746" w:type="dxa"/>
            <w:vMerge w:val="restart"/>
            <w:noWrap w:val="0"/>
            <w:vAlign w:val="center"/>
          </w:tcPr>
          <w:p w14:paraId="54FDCC71">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基础合规性与相关方要求</w:t>
            </w:r>
          </w:p>
        </w:tc>
        <w:tc>
          <w:tcPr>
            <w:tcW w:w="6689" w:type="dxa"/>
            <w:noWrap w:val="0"/>
            <w:vAlign w:val="center"/>
          </w:tcPr>
          <w:p w14:paraId="45267F3C">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绿色工厂应依法设立，在建设和生产过程中应遵守有关法律、法规、政策和标准。</w:t>
            </w:r>
          </w:p>
        </w:tc>
        <w:tc>
          <w:tcPr>
            <w:tcW w:w="1392" w:type="dxa"/>
            <w:noWrap w:val="0"/>
            <w:vAlign w:val="center"/>
          </w:tcPr>
          <w:p w14:paraId="251ED879">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24BCA81E">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87D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jc w:val="center"/>
        </w:trPr>
        <w:tc>
          <w:tcPr>
            <w:tcW w:w="1746" w:type="dxa"/>
            <w:vMerge w:val="continue"/>
            <w:noWrap w:val="0"/>
            <w:vAlign w:val="center"/>
          </w:tcPr>
          <w:p w14:paraId="4403DF78">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14:paraId="1A5C8F72">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无较大及以上安全、环保、质量等事故。</w:t>
            </w:r>
          </w:p>
        </w:tc>
        <w:tc>
          <w:tcPr>
            <w:tcW w:w="1392" w:type="dxa"/>
            <w:noWrap w:val="0"/>
            <w:vAlign w:val="center"/>
          </w:tcPr>
          <w:p w14:paraId="335AD0CC">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21C974E9">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C2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14:paraId="61210F6C">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14:paraId="7071C065">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对利益相关方的环境要求做出承诺的，应同时满足有关承诺的要求。</w:t>
            </w:r>
          </w:p>
        </w:tc>
        <w:tc>
          <w:tcPr>
            <w:tcW w:w="1392" w:type="dxa"/>
            <w:noWrap w:val="0"/>
            <w:vAlign w:val="center"/>
          </w:tcPr>
          <w:p w14:paraId="7ECCEF14">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3F40AE7A">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0CD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restart"/>
            <w:noWrap w:val="0"/>
            <w:vAlign w:val="center"/>
          </w:tcPr>
          <w:p w14:paraId="78A960AC">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基础管理职责——最高管理者</w:t>
            </w:r>
          </w:p>
        </w:tc>
        <w:tc>
          <w:tcPr>
            <w:tcW w:w="6689" w:type="dxa"/>
            <w:noWrap w:val="0"/>
            <w:vAlign w:val="center"/>
          </w:tcPr>
          <w:p w14:paraId="59E7B09F">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最高管理者在绿色工厂方面的领导作用和承诺满足GB/T 36132 中4.3.1 a</w:t>
            </w:r>
            <w:r>
              <w:rPr>
                <w:rFonts w:hint="eastAsia" w:ascii="Times New Roman" w:hAnsi="Times New Roman" w:eastAsia="仿宋_GB2312" w:cs="Times New Roman"/>
                <w:snapToGrid/>
                <w:kern w:val="2"/>
                <w:sz w:val="24"/>
                <w:szCs w:val="24"/>
              </w:rPr>
              <w:t>）</w:t>
            </w:r>
            <w:r>
              <w:rPr>
                <w:rFonts w:ascii="Times New Roman" w:hAnsi="Times New Roman" w:eastAsia="仿宋_GB2312" w:cs="Times New Roman"/>
                <w:snapToGrid/>
                <w:kern w:val="2"/>
                <w:sz w:val="24"/>
                <w:szCs w:val="24"/>
              </w:rPr>
              <w:t>的要求。</w:t>
            </w:r>
          </w:p>
        </w:tc>
        <w:tc>
          <w:tcPr>
            <w:tcW w:w="1392" w:type="dxa"/>
            <w:noWrap w:val="0"/>
            <w:vAlign w:val="center"/>
          </w:tcPr>
          <w:p w14:paraId="151FEF24">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28A3C6F5">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3FB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14:paraId="1C10C587">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14:paraId="3D71FDCF">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最高管理者确保在工厂内部分配并沟通与绿色工厂相关角色的职责和权限，且满足GB/T 36132 中4.3.1 b</w:t>
            </w:r>
            <w:r>
              <w:rPr>
                <w:rFonts w:hint="eastAsia" w:ascii="Times New Roman" w:hAnsi="Times New Roman" w:eastAsia="仿宋_GB2312" w:cs="Times New Roman"/>
                <w:snapToGrid/>
                <w:kern w:val="2"/>
                <w:sz w:val="24"/>
                <w:szCs w:val="24"/>
              </w:rPr>
              <w:t>）</w:t>
            </w:r>
            <w:r>
              <w:rPr>
                <w:rFonts w:ascii="Times New Roman" w:hAnsi="Times New Roman" w:eastAsia="仿宋_GB2312" w:cs="Times New Roman"/>
                <w:snapToGrid/>
                <w:kern w:val="2"/>
                <w:sz w:val="24"/>
                <w:szCs w:val="24"/>
              </w:rPr>
              <w:t>的要求。</w:t>
            </w:r>
          </w:p>
        </w:tc>
        <w:tc>
          <w:tcPr>
            <w:tcW w:w="1392" w:type="dxa"/>
            <w:noWrap w:val="0"/>
            <w:vAlign w:val="center"/>
          </w:tcPr>
          <w:p w14:paraId="04EF6E44">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13A60070">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8AE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restart"/>
            <w:noWrap w:val="0"/>
            <w:vAlign w:val="center"/>
          </w:tcPr>
          <w:p w14:paraId="7D998E60">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基础管理职责——工厂</w:t>
            </w:r>
          </w:p>
        </w:tc>
        <w:tc>
          <w:tcPr>
            <w:tcW w:w="6689" w:type="dxa"/>
            <w:noWrap w:val="0"/>
            <w:vAlign w:val="center"/>
          </w:tcPr>
          <w:p w14:paraId="35C9743A">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应设有绿色工厂管理机构，负责有关绿色工厂的制度建设、实施、考核及奖励工作，建立目标责任制。</w:t>
            </w:r>
          </w:p>
        </w:tc>
        <w:tc>
          <w:tcPr>
            <w:tcW w:w="1392" w:type="dxa"/>
            <w:noWrap w:val="0"/>
            <w:vAlign w:val="center"/>
          </w:tcPr>
          <w:p w14:paraId="6846954F">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2FE40A73">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162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14:paraId="3914AA5E">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14:paraId="06B8A4CF">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应有开展绿色工厂的中长期规划及年度目标、指标和实施方案。可行时，指标应明确且可量化。</w:t>
            </w:r>
          </w:p>
        </w:tc>
        <w:tc>
          <w:tcPr>
            <w:tcW w:w="1392" w:type="dxa"/>
            <w:noWrap w:val="0"/>
            <w:vAlign w:val="center"/>
          </w:tcPr>
          <w:p w14:paraId="604237B5">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11C599C6">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EE0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jc w:val="center"/>
        </w:trPr>
        <w:tc>
          <w:tcPr>
            <w:tcW w:w="1746" w:type="dxa"/>
            <w:vMerge w:val="continue"/>
            <w:noWrap w:val="0"/>
            <w:vAlign w:val="center"/>
          </w:tcPr>
          <w:p w14:paraId="2550C051">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6689" w:type="dxa"/>
            <w:noWrap w:val="0"/>
            <w:vAlign w:val="center"/>
          </w:tcPr>
          <w:p w14:paraId="1A79DF65">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应传播绿色制造的概念和知识，定期为员工提供绿色制造相关知识的教育、培训，并对教育和培训的结果进行考评。</w:t>
            </w:r>
          </w:p>
        </w:tc>
        <w:tc>
          <w:tcPr>
            <w:tcW w:w="1392" w:type="dxa"/>
            <w:noWrap w:val="0"/>
            <w:vAlign w:val="center"/>
          </w:tcPr>
          <w:p w14:paraId="0D51902E">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p>
        </w:tc>
        <w:tc>
          <w:tcPr>
            <w:tcW w:w="4281" w:type="dxa"/>
            <w:noWrap w:val="0"/>
            <w:vAlign w:val="center"/>
          </w:tcPr>
          <w:p w14:paraId="06DA6587">
            <w:pPr>
              <w:widowControl w:val="0"/>
              <w:kinsoku/>
              <w:autoSpaceDE/>
              <w:autoSpaceDN/>
              <w:adjustRightInd/>
              <w:snapToGrid/>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bl>
    <w:p w14:paraId="2AC646B9">
      <w:pPr>
        <w:widowControl w:val="0"/>
        <w:kinsoku/>
        <w:autoSpaceDE/>
        <w:autoSpaceDN/>
        <w:adjustRightInd/>
        <w:snapToGrid/>
        <w:spacing w:line="560" w:lineRule="exact"/>
        <w:jc w:val="both"/>
        <w:textAlignment w:val="auto"/>
        <w:rPr>
          <w:rFonts w:ascii="Times New Roman" w:hAnsi="Times New Roman" w:eastAsia="仿宋_GB2312" w:cs="Times New Roman"/>
          <w:snapToGrid/>
          <w:kern w:val="2"/>
          <w:sz w:val="30"/>
          <w:szCs w:val="30"/>
        </w:rPr>
      </w:pPr>
      <w:r>
        <w:rPr>
          <w:rFonts w:ascii="Times New Roman" w:hAnsi="Times New Roman" w:eastAsia="仿宋_GB2312" w:cs="Times New Roman"/>
          <w:snapToGrid/>
          <w:kern w:val="2"/>
          <w:sz w:val="30"/>
          <w:szCs w:val="30"/>
        </w:rPr>
        <w:br w:type="page"/>
      </w:r>
      <w:r>
        <w:rPr>
          <w:rFonts w:ascii="Times New Roman" w:hAnsi="Times New Roman" w:eastAsia="黑体" w:cs="Times New Roman"/>
          <w:snapToGrid/>
          <w:kern w:val="2"/>
          <w:sz w:val="32"/>
          <w:szCs w:val="32"/>
        </w:rPr>
        <w:t>附表2.2</w:t>
      </w:r>
    </w:p>
    <w:p w14:paraId="486B5394">
      <w:pPr>
        <w:kinsoku/>
        <w:autoSpaceDE/>
        <w:autoSpaceDN/>
        <w:adjustRightInd/>
        <w:snapToGrid/>
        <w:spacing w:line="560" w:lineRule="exact"/>
        <w:jc w:val="center"/>
        <w:textAlignment w:val="auto"/>
        <w:rPr>
          <w:rFonts w:ascii="Times New Roman" w:hAnsi="Times New Roman" w:eastAsia="方正小标宋简体" w:cs="Times New Roman"/>
          <w:bCs/>
          <w:snapToGrid/>
          <w:kern w:val="2"/>
          <w:sz w:val="40"/>
          <w:szCs w:val="40"/>
        </w:rPr>
      </w:pPr>
      <w:r>
        <w:rPr>
          <w:rFonts w:ascii="Times New Roman" w:hAnsi="Times New Roman" w:eastAsia="方正小标宋简体" w:cs="Times New Roman"/>
          <w:bCs/>
          <w:snapToGrid/>
          <w:kern w:val="2"/>
          <w:sz w:val="40"/>
          <w:szCs w:val="40"/>
        </w:rPr>
        <w:t>绿色工厂评价指标第三方评价表</w:t>
      </w:r>
    </w:p>
    <w:p w14:paraId="624CEABC">
      <w:pPr>
        <w:widowControl w:val="0"/>
        <w:kinsoku/>
        <w:snapToGrid/>
        <w:spacing w:line="560" w:lineRule="exact"/>
        <w:jc w:val="center"/>
        <w:textAlignment w:val="auto"/>
        <w:rPr>
          <w:rFonts w:ascii="Times New Roman" w:hAnsi="Times New Roman" w:eastAsia="仿宋_GB2312" w:cs="Times New Roman"/>
          <w:b/>
          <w:snapToGrid/>
          <w:sz w:val="30"/>
          <w:szCs w:val="30"/>
        </w:rPr>
      </w:pPr>
      <w:r>
        <w:rPr>
          <w:rFonts w:ascii="Times New Roman" w:hAnsi="Times New Roman" w:eastAsia="仿宋_GB2312" w:cs="Times New Roman"/>
          <w:b/>
          <w:snapToGrid/>
          <w:sz w:val="30"/>
          <w:szCs w:val="30"/>
        </w:rPr>
        <w:t>（20  年）</w:t>
      </w:r>
    </w:p>
    <w:tbl>
      <w:tblPr>
        <w:tblStyle w:val="3"/>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7"/>
        <w:gridCol w:w="1223"/>
        <w:gridCol w:w="1223"/>
        <w:gridCol w:w="5343"/>
        <w:gridCol w:w="2593"/>
        <w:gridCol w:w="1373"/>
        <w:gridCol w:w="917"/>
        <w:gridCol w:w="766"/>
        <w:gridCol w:w="829"/>
      </w:tblGrid>
      <w:tr w14:paraId="420C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jc w:val="center"/>
        </w:trPr>
        <w:tc>
          <w:tcPr>
            <w:tcW w:w="704" w:type="dxa"/>
            <w:noWrap w:val="0"/>
            <w:vAlign w:val="center"/>
          </w:tcPr>
          <w:p w14:paraId="6E96D315">
            <w:pPr>
              <w:kinsoku/>
              <w:autoSpaceDE/>
              <w:autoSpaceDN/>
              <w:adjustRightInd/>
              <w:snapToGrid/>
              <w:spacing w:line="320" w:lineRule="exact"/>
              <w:jc w:val="center"/>
              <w:textAlignment w:val="auto"/>
              <w:rPr>
                <w:rFonts w:hint="eastAsia" w:ascii="黑体" w:hAnsi="黑体" w:eastAsia="黑体" w:cs="黑体"/>
                <w:snapToGrid/>
                <w:sz w:val="24"/>
                <w:szCs w:val="24"/>
              </w:rPr>
            </w:pPr>
            <w:r>
              <w:rPr>
                <w:rFonts w:hint="eastAsia" w:ascii="黑体" w:hAnsi="黑体" w:eastAsia="黑体" w:cs="黑体"/>
                <w:snapToGrid/>
                <w:kern w:val="2"/>
                <w:sz w:val="24"/>
                <w:szCs w:val="24"/>
              </w:rPr>
              <w:t>序号</w:t>
            </w:r>
          </w:p>
        </w:tc>
        <w:tc>
          <w:tcPr>
            <w:tcW w:w="1135" w:type="dxa"/>
            <w:noWrap w:val="0"/>
            <w:vAlign w:val="center"/>
          </w:tcPr>
          <w:p w14:paraId="1F6B1668">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一级</w:t>
            </w:r>
          </w:p>
          <w:p w14:paraId="19BDD56F">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指标</w:t>
            </w:r>
          </w:p>
        </w:tc>
        <w:tc>
          <w:tcPr>
            <w:tcW w:w="1135" w:type="dxa"/>
            <w:noWrap w:val="0"/>
            <w:vAlign w:val="center"/>
          </w:tcPr>
          <w:p w14:paraId="718B0E11">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二级</w:t>
            </w:r>
          </w:p>
          <w:p w14:paraId="795A8A87">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指标</w:t>
            </w:r>
          </w:p>
        </w:tc>
        <w:tc>
          <w:tcPr>
            <w:tcW w:w="4960" w:type="dxa"/>
            <w:noWrap w:val="0"/>
            <w:vAlign w:val="center"/>
          </w:tcPr>
          <w:p w14:paraId="7822D832">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具体评价要求</w:t>
            </w:r>
          </w:p>
        </w:tc>
        <w:tc>
          <w:tcPr>
            <w:tcW w:w="2407" w:type="dxa"/>
            <w:noWrap w:val="0"/>
            <w:vAlign w:val="center"/>
          </w:tcPr>
          <w:p w14:paraId="49FD8045">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符合性说明及证明材料索引</w:t>
            </w:r>
          </w:p>
        </w:tc>
        <w:tc>
          <w:tcPr>
            <w:tcW w:w="1275" w:type="dxa"/>
            <w:noWrap w:val="0"/>
            <w:vAlign w:val="center"/>
          </w:tcPr>
          <w:p w14:paraId="297A020A">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要求类型</w:t>
            </w:r>
          </w:p>
        </w:tc>
        <w:tc>
          <w:tcPr>
            <w:tcW w:w="851" w:type="dxa"/>
            <w:noWrap w:val="0"/>
            <w:vAlign w:val="center"/>
          </w:tcPr>
          <w:p w14:paraId="0A4E3387">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分值</w:t>
            </w:r>
          </w:p>
        </w:tc>
        <w:tc>
          <w:tcPr>
            <w:tcW w:w="711" w:type="dxa"/>
            <w:noWrap w:val="0"/>
            <w:vAlign w:val="center"/>
          </w:tcPr>
          <w:p w14:paraId="77F84587">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权重</w:t>
            </w:r>
          </w:p>
        </w:tc>
        <w:tc>
          <w:tcPr>
            <w:tcW w:w="770" w:type="dxa"/>
            <w:noWrap w:val="0"/>
            <w:vAlign w:val="center"/>
          </w:tcPr>
          <w:p w14:paraId="6213390D">
            <w:pPr>
              <w:widowControl w:val="0"/>
              <w:kinsoku/>
              <w:autoSpaceDE/>
              <w:autoSpaceDN/>
              <w:adjustRightInd/>
              <w:snapToGrid/>
              <w:spacing w:line="320" w:lineRule="exact"/>
              <w:jc w:val="center"/>
              <w:textAlignment w:val="auto"/>
              <w:rPr>
                <w:rFonts w:hint="eastAsia" w:ascii="黑体" w:hAnsi="黑体" w:eastAsia="黑体" w:cs="黑体"/>
                <w:snapToGrid/>
                <w:kern w:val="2"/>
                <w:sz w:val="24"/>
                <w:szCs w:val="24"/>
              </w:rPr>
            </w:pPr>
            <w:r>
              <w:rPr>
                <w:rFonts w:hint="eastAsia" w:ascii="黑体" w:hAnsi="黑体" w:eastAsia="黑体" w:cs="黑体"/>
                <w:snapToGrid/>
                <w:kern w:val="2"/>
                <w:sz w:val="24"/>
                <w:szCs w:val="24"/>
              </w:rPr>
              <w:t>得分</w:t>
            </w:r>
          </w:p>
        </w:tc>
      </w:tr>
      <w:tr w14:paraId="0667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2213037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w:t>
            </w:r>
          </w:p>
        </w:tc>
        <w:tc>
          <w:tcPr>
            <w:tcW w:w="1135" w:type="dxa"/>
            <w:vMerge w:val="restart"/>
            <w:noWrap w:val="0"/>
            <w:vAlign w:val="center"/>
          </w:tcPr>
          <w:p w14:paraId="3A4F2E8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基础设施</w:t>
            </w:r>
          </w:p>
        </w:tc>
        <w:tc>
          <w:tcPr>
            <w:tcW w:w="1135" w:type="dxa"/>
            <w:vMerge w:val="restart"/>
            <w:noWrap w:val="0"/>
            <w:vAlign w:val="center"/>
          </w:tcPr>
          <w:p w14:paraId="0329A2F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w:t>
            </w:r>
          </w:p>
        </w:tc>
        <w:tc>
          <w:tcPr>
            <w:tcW w:w="4960" w:type="dxa"/>
            <w:noWrap w:val="0"/>
            <w:vAlign w:val="center"/>
          </w:tcPr>
          <w:p w14:paraId="38909B3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工厂的建筑应满足国家或地方相关法律法规及标准的要求。</w:t>
            </w:r>
          </w:p>
        </w:tc>
        <w:tc>
          <w:tcPr>
            <w:tcW w:w="2407" w:type="dxa"/>
            <w:noWrap w:val="0"/>
            <w:vAlign w:val="center"/>
          </w:tcPr>
          <w:p w14:paraId="5000061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397DEBF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1DC9E1A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restart"/>
            <w:noWrap w:val="0"/>
            <w:vAlign w:val="center"/>
          </w:tcPr>
          <w:p w14:paraId="5DF85C3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70" w:type="dxa"/>
            <w:noWrap w:val="0"/>
            <w:vAlign w:val="center"/>
          </w:tcPr>
          <w:p w14:paraId="5E03AB1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902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61E3FF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64B2AD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2AD01B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BFF527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新建、改建和扩建建筑时，应遵守国家“固定资产投资项目节能评估审查制度”、“三同时制度”、“工业项目建设用地控制指标”等产业政策和有关要求。</w:t>
            </w:r>
          </w:p>
        </w:tc>
        <w:tc>
          <w:tcPr>
            <w:tcW w:w="2407" w:type="dxa"/>
            <w:noWrap w:val="0"/>
            <w:vAlign w:val="center"/>
          </w:tcPr>
          <w:p w14:paraId="2F2740C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F28256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928CC0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5CFB2D9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4193A2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98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8A5CDF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EBBFCC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22B4BC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50437F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厂房内部装饰装修材料中醛、苯、氨、氡等有害物质应符合国家和地方法律、标准要求。</w:t>
            </w:r>
          </w:p>
        </w:tc>
        <w:tc>
          <w:tcPr>
            <w:tcW w:w="2407" w:type="dxa"/>
            <w:noWrap w:val="0"/>
            <w:vAlign w:val="center"/>
          </w:tcPr>
          <w:p w14:paraId="1C68594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0B505EF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2AD4D68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3F7210D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245123D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A0C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FDC070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C6602B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7E69AB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3F78C3C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危险品仓库、有毒有害操作间、废弃物处理间等产生污染物的房间应独立设置。</w:t>
            </w:r>
          </w:p>
        </w:tc>
        <w:tc>
          <w:tcPr>
            <w:tcW w:w="2407" w:type="dxa"/>
            <w:noWrap w:val="0"/>
            <w:vAlign w:val="center"/>
          </w:tcPr>
          <w:p w14:paraId="5F2081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2A40D96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34CC45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1B0F1C8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D5F35D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A25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A9C422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0BA20B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6FB899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B82D72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14:paraId="6BF8C91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727F227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EB4895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62534AE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323A1B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8C8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65EAD6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DAD5B9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59CDC9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0ED8A4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建筑结构：采用钢结构、砌体结构和木结构等资源消耗和环境影响小的建筑结构体系。</w:t>
            </w:r>
          </w:p>
        </w:tc>
        <w:tc>
          <w:tcPr>
            <w:tcW w:w="2407" w:type="dxa"/>
            <w:noWrap w:val="0"/>
            <w:vAlign w:val="center"/>
          </w:tcPr>
          <w:p w14:paraId="73A919C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7427719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0E04A0E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512CE8A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4FDBDB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C1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1014D6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D4481C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C5B33F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64109A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14:paraId="3C25620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ACDE58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02CE2AC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166824A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2AC379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CF6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DEEE0D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E61EA6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148C1F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5D2578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再生资源及能源利用：（1）可再生能源的使用占建筑总能耗的比例大于10%；（2）采用节水器具和设备，节水率不低于10%。</w:t>
            </w:r>
          </w:p>
        </w:tc>
        <w:tc>
          <w:tcPr>
            <w:tcW w:w="2407" w:type="dxa"/>
            <w:noWrap w:val="0"/>
            <w:vAlign w:val="center"/>
          </w:tcPr>
          <w:p w14:paraId="46732EE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6C3D0A6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54BA81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6E73C6D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103B9A8">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150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4D5E20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51978B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D5F928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3A08B31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适用时，工厂的厂房采用多层建筑。</w:t>
            </w:r>
          </w:p>
        </w:tc>
        <w:tc>
          <w:tcPr>
            <w:tcW w:w="2407" w:type="dxa"/>
            <w:noWrap w:val="0"/>
            <w:vAlign w:val="center"/>
          </w:tcPr>
          <w:p w14:paraId="5368204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0BEA047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25DD785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596DCCE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1D1800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A4E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2771D6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466568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7257868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照明</w:t>
            </w:r>
          </w:p>
        </w:tc>
        <w:tc>
          <w:tcPr>
            <w:tcW w:w="4960" w:type="dxa"/>
            <w:noWrap w:val="0"/>
            <w:vAlign w:val="center"/>
          </w:tcPr>
          <w:p w14:paraId="0E1D2A0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人工照明应符合GB 50034规定。</w:t>
            </w:r>
          </w:p>
        </w:tc>
        <w:tc>
          <w:tcPr>
            <w:tcW w:w="2407" w:type="dxa"/>
            <w:noWrap w:val="0"/>
            <w:vAlign w:val="center"/>
          </w:tcPr>
          <w:p w14:paraId="7345326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0A4FC48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569CCE6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7</w:t>
            </w:r>
          </w:p>
        </w:tc>
        <w:tc>
          <w:tcPr>
            <w:tcW w:w="711" w:type="dxa"/>
            <w:vMerge w:val="continue"/>
            <w:noWrap w:val="0"/>
            <w:vAlign w:val="center"/>
          </w:tcPr>
          <w:p w14:paraId="24F424C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0F598B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1F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FC2139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D80986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EE876B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78E6DBC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不同场所的照明应进行分级设计。</w:t>
            </w:r>
          </w:p>
        </w:tc>
        <w:tc>
          <w:tcPr>
            <w:tcW w:w="2407" w:type="dxa"/>
            <w:noWrap w:val="0"/>
            <w:vAlign w:val="center"/>
          </w:tcPr>
          <w:p w14:paraId="796D568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56F7A16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28A2888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3DA74EB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6D4E0C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6BC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C541EA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CFC05B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15234C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407E7F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工厂厂区及各房间或场所的照明尽量利用自然光。</w:t>
            </w:r>
          </w:p>
        </w:tc>
        <w:tc>
          <w:tcPr>
            <w:tcW w:w="2407" w:type="dxa"/>
            <w:noWrap w:val="0"/>
            <w:vAlign w:val="center"/>
          </w:tcPr>
          <w:p w14:paraId="4887777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6E3DD3D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5AC858F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50FB6CF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22240D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A1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DA20A6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F44CA4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7AD85C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26657C5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工艺适用时，节能灯等节能型照明设备的使用占比不低于50%。</w:t>
            </w:r>
          </w:p>
        </w:tc>
        <w:tc>
          <w:tcPr>
            <w:tcW w:w="2407" w:type="dxa"/>
            <w:noWrap w:val="0"/>
            <w:vAlign w:val="center"/>
          </w:tcPr>
          <w:p w14:paraId="6BC91B5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201647F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1DA4E50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54A8028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81E4988">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412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C39F84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C177A7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F76157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95FDD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公共场所的照明采取分区、分组与定时自动调光等措施。</w:t>
            </w:r>
          </w:p>
        </w:tc>
        <w:tc>
          <w:tcPr>
            <w:tcW w:w="2407" w:type="dxa"/>
            <w:noWrap w:val="0"/>
            <w:vAlign w:val="center"/>
          </w:tcPr>
          <w:p w14:paraId="69669A3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7AE562A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CC8ECB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67D3252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D40F0E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806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AAC00A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E81362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0BECF51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设备</w:t>
            </w:r>
          </w:p>
          <w:p w14:paraId="08B0F1F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设施</w:t>
            </w:r>
          </w:p>
        </w:tc>
        <w:tc>
          <w:tcPr>
            <w:tcW w:w="4960" w:type="dxa"/>
            <w:noWrap w:val="0"/>
            <w:vAlign w:val="center"/>
          </w:tcPr>
          <w:p w14:paraId="7CE25CF3">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工厂使用的专用设备应符合产业准入要求，降低能源与资源消耗，减少污染物排放。</w:t>
            </w:r>
          </w:p>
        </w:tc>
        <w:tc>
          <w:tcPr>
            <w:tcW w:w="2407" w:type="dxa"/>
            <w:noWrap w:val="0"/>
            <w:vAlign w:val="center"/>
          </w:tcPr>
          <w:p w14:paraId="55F77B1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5B569F3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2DD12E2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51F678A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6D22BF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5EE1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116245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95043D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275B63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3FD67D5">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适用时，工厂使用的通用设备应达到相关标准中能效限定值的强制性要求。已明令禁止生产、使用的和能耗高、效率低的设备应限期淘汰更新。</w:t>
            </w:r>
          </w:p>
        </w:tc>
        <w:tc>
          <w:tcPr>
            <w:tcW w:w="2407" w:type="dxa"/>
            <w:noWrap w:val="0"/>
            <w:vAlign w:val="center"/>
          </w:tcPr>
          <w:p w14:paraId="41A8FA7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7B77071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89FFD6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353FDDF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2E2A1B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3C0C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2B298B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5487CB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ABF6AD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20D8BBA">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工厂使用的通用设备或其系统的实际运行效率或主要运行参数应符合该设备经济运行的要求。</w:t>
            </w:r>
          </w:p>
        </w:tc>
        <w:tc>
          <w:tcPr>
            <w:tcW w:w="2407" w:type="dxa"/>
            <w:noWrap w:val="0"/>
            <w:vAlign w:val="center"/>
          </w:tcPr>
          <w:p w14:paraId="0BB9D9B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3969C28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64A6C60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541B7EC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680862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7A03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795347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E5749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71FB7E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408EEE7">
            <w:pPr>
              <w:pStyle w:val="5"/>
              <w:kinsoku/>
              <w:snapToGrid/>
              <w:spacing w:before="0" w:beforeAutospacing="0" w:after="0" w:afterAutospacing="0" w:line="320" w:lineRule="exact"/>
              <w:jc w:val="both"/>
              <w:textAlignment w:val="auto"/>
              <w:rPr>
                <w:rFonts w:ascii="Times New Roman" w:hAnsi="Times New Roman" w:eastAsia="仿宋_GB2312" w:cs="Times New Roman"/>
                <w:snapToGrid/>
                <w:szCs w:val="24"/>
              </w:rPr>
            </w:pPr>
            <w:r>
              <w:rPr>
                <w:rFonts w:ascii="Times New Roman" w:hAnsi="Times New Roman" w:eastAsia="仿宋_GB2312" w:cs="Times New Roman"/>
                <w:snapToGrid/>
              </w:rPr>
              <w:t>工厂应依据GB 17167、GB24789等要求配备、使用和管理能源、水以及其他资源的计量器具和装置。</w:t>
            </w:r>
          </w:p>
        </w:tc>
        <w:tc>
          <w:tcPr>
            <w:tcW w:w="2407" w:type="dxa"/>
            <w:noWrap w:val="0"/>
            <w:vAlign w:val="center"/>
          </w:tcPr>
          <w:p w14:paraId="0C0C979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5D99FB5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369E83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7F58AA0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43139B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23AF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8BF78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3F1821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ACD652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6782FA9D">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14:paraId="6F03294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461976A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8494CD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2ED812A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91FB30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520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773FFA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59DEF5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F9BD37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0B23D105">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14:paraId="6A2E5AA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3F37094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6829BE7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3B77AB6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01D2BD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4FC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1F011D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904990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F5C204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DC552E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工厂使用的通用用能设备采用了节能型产品或效率高、能耗低、水耗低、物耗低的产品。</w:t>
            </w:r>
          </w:p>
        </w:tc>
        <w:tc>
          <w:tcPr>
            <w:tcW w:w="2407" w:type="dxa"/>
            <w:noWrap w:val="0"/>
            <w:vAlign w:val="center"/>
          </w:tcPr>
          <w:p w14:paraId="7B31698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0F09A29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5204941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14:paraId="27B2945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FE33F8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7EEC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5F5957C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1135" w:type="dxa"/>
            <w:vMerge w:val="restart"/>
            <w:noWrap w:val="0"/>
            <w:vAlign w:val="center"/>
          </w:tcPr>
          <w:p w14:paraId="37E36D2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管理体系</w:t>
            </w:r>
          </w:p>
        </w:tc>
        <w:tc>
          <w:tcPr>
            <w:tcW w:w="1135" w:type="dxa"/>
            <w:vMerge w:val="restart"/>
            <w:noWrap w:val="0"/>
            <w:vAlign w:val="center"/>
          </w:tcPr>
          <w:p w14:paraId="3D5CC32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一般</w:t>
            </w:r>
          </w:p>
          <w:p w14:paraId="3E8BA11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要求</w:t>
            </w:r>
          </w:p>
        </w:tc>
        <w:tc>
          <w:tcPr>
            <w:tcW w:w="4960" w:type="dxa"/>
            <w:noWrap w:val="0"/>
            <w:vAlign w:val="center"/>
          </w:tcPr>
          <w:p w14:paraId="4FA8D528">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19001的要求的质量管理体系。</w:t>
            </w:r>
          </w:p>
        </w:tc>
        <w:tc>
          <w:tcPr>
            <w:tcW w:w="2407" w:type="dxa"/>
            <w:noWrap w:val="0"/>
            <w:vAlign w:val="center"/>
          </w:tcPr>
          <w:p w14:paraId="3A6B277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7B1BE3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4DD2602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restart"/>
            <w:noWrap w:val="0"/>
            <w:vAlign w:val="center"/>
          </w:tcPr>
          <w:p w14:paraId="5128353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70" w:type="dxa"/>
            <w:noWrap w:val="0"/>
            <w:vAlign w:val="center"/>
          </w:tcPr>
          <w:p w14:paraId="3A1263A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A1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BA827D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03768D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A32CD2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FAE2A8B">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通过质量管理体系第三方认证。</w:t>
            </w:r>
          </w:p>
        </w:tc>
        <w:tc>
          <w:tcPr>
            <w:tcW w:w="2407" w:type="dxa"/>
            <w:noWrap w:val="0"/>
            <w:vAlign w:val="center"/>
          </w:tcPr>
          <w:p w14:paraId="25C4C31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329A350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2BE18FE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14:paraId="78663EB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2647C43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60E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6E8C0C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242203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CC4B15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D5FEC40">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28001要求的职业健康安全管理体系。</w:t>
            </w:r>
          </w:p>
        </w:tc>
        <w:tc>
          <w:tcPr>
            <w:tcW w:w="2407" w:type="dxa"/>
            <w:noWrap w:val="0"/>
            <w:vAlign w:val="center"/>
          </w:tcPr>
          <w:p w14:paraId="08EDE14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0E26CEE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1B3EE4F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60EC32C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D2B7303">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F06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7E1B63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F8A8F0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DBB987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0D45BAF6">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通过职业健康安全管理体系第三方认证。</w:t>
            </w:r>
          </w:p>
        </w:tc>
        <w:tc>
          <w:tcPr>
            <w:tcW w:w="2407" w:type="dxa"/>
            <w:noWrap w:val="0"/>
            <w:vAlign w:val="center"/>
          </w:tcPr>
          <w:p w14:paraId="0FA9430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389DB50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674E940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14:paraId="3D8191F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CF7A9D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51B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9270EE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9E08B7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303AD9E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环境管理体系</w:t>
            </w:r>
          </w:p>
        </w:tc>
        <w:tc>
          <w:tcPr>
            <w:tcW w:w="4960" w:type="dxa"/>
            <w:noWrap w:val="0"/>
            <w:vAlign w:val="center"/>
          </w:tcPr>
          <w:p w14:paraId="5D233E2C">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24001要求的环境管理体系。</w:t>
            </w:r>
          </w:p>
        </w:tc>
        <w:tc>
          <w:tcPr>
            <w:tcW w:w="2407" w:type="dxa"/>
            <w:noWrap w:val="0"/>
            <w:vAlign w:val="center"/>
          </w:tcPr>
          <w:p w14:paraId="639CC44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1F1904D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3A76B23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11" w:type="dxa"/>
            <w:vMerge w:val="continue"/>
            <w:noWrap w:val="0"/>
            <w:vAlign w:val="center"/>
          </w:tcPr>
          <w:p w14:paraId="2916037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BD470D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8C1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3F7547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086542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1C593F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CC92A1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通过环境管理体系第三方认证。</w:t>
            </w:r>
          </w:p>
        </w:tc>
        <w:tc>
          <w:tcPr>
            <w:tcW w:w="2407" w:type="dxa"/>
            <w:noWrap w:val="0"/>
            <w:vAlign w:val="center"/>
          </w:tcPr>
          <w:p w14:paraId="6989EB1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B0EACE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4EB46AA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3E74E77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E710238">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86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8F3A26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250EDD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3077596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能源管理体系</w:t>
            </w:r>
          </w:p>
        </w:tc>
        <w:tc>
          <w:tcPr>
            <w:tcW w:w="4960" w:type="dxa"/>
            <w:noWrap w:val="0"/>
            <w:vAlign w:val="center"/>
          </w:tcPr>
          <w:p w14:paraId="14296E4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工厂建立、实施并保持满足GB/T 23331要求的能源管理体系。</w:t>
            </w:r>
          </w:p>
        </w:tc>
        <w:tc>
          <w:tcPr>
            <w:tcW w:w="2407" w:type="dxa"/>
            <w:noWrap w:val="0"/>
            <w:vAlign w:val="center"/>
          </w:tcPr>
          <w:p w14:paraId="2AC350E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6098A7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0D3BAF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20</w:t>
            </w:r>
          </w:p>
        </w:tc>
        <w:tc>
          <w:tcPr>
            <w:tcW w:w="711" w:type="dxa"/>
            <w:vMerge w:val="continue"/>
            <w:noWrap w:val="0"/>
            <w:vAlign w:val="center"/>
          </w:tcPr>
          <w:p w14:paraId="1C65C91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DB435D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AB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AAFBF8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934A14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3174E6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733CA88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通过能源管理体系第三方认证。</w:t>
            </w:r>
          </w:p>
        </w:tc>
        <w:tc>
          <w:tcPr>
            <w:tcW w:w="2407" w:type="dxa"/>
            <w:noWrap w:val="0"/>
            <w:vAlign w:val="center"/>
          </w:tcPr>
          <w:p w14:paraId="28DF9C7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3FC69FE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528BC7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4522709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83FC95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E20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02539B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0F70FD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14:paraId="5FC8B9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社会</w:t>
            </w:r>
          </w:p>
          <w:p w14:paraId="152C243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责任</w:t>
            </w:r>
          </w:p>
        </w:tc>
        <w:tc>
          <w:tcPr>
            <w:tcW w:w="4960" w:type="dxa"/>
            <w:noWrap w:val="0"/>
            <w:vAlign w:val="center"/>
          </w:tcPr>
          <w:p w14:paraId="635F63A1">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每年发布社会责任报告，说明履行利益相关方责任的情况，特别是环境社会责任的履行情况，报告公开可获得。</w:t>
            </w:r>
          </w:p>
        </w:tc>
        <w:tc>
          <w:tcPr>
            <w:tcW w:w="2407" w:type="dxa"/>
            <w:noWrap w:val="0"/>
            <w:vAlign w:val="center"/>
          </w:tcPr>
          <w:p w14:paraId="2F3315F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4B21C6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2421C3F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7A3C7AF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148DBB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561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4284B56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1135" w:type="dxa"/>
            <w:vMerge w:val="restart"/>
            <w:noWrap w:val="0"/>
            <w:vAlign w:val="center"/>
          </w:tcPr>
          <w:p w14:paraId="3F92108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能源资源投入</w:t>
            </w:r>
          </w:p>
        </w:tc>
        <w:tc>
          <w:tcPr>
            <w:tcW w:w="1135" w:type="dxa"/>
            <w:vMerge w:val="restart"/>
            <w:noWrap w:val="0"/>
            <w:vAlign w:val="center"/>
          </w:tcPr>
          <w:p w14:paraId="18EE0F7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w:t>
            </w:r>
          </w:p>
          <w:p w14:paraId="1B2E79F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投入</w:t>
            </w:r>
          </w:p>
        </w:tc>
        <w:tc>
          <w:tcPr>
            <w:tcW w:w="4960" w:type="dxa"/>
            <w:noWrap w:val="0"/>
            <w:vAlign w:val="center"/>
          </w:tcPr>
          <w:p w14:paraId="4FC1AD1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2"/>
              </w:rPr>
              <w:t>工厂应优化用能结构，在保证安全、质量的前提下减少不可再生能源投入。</w:t>
            </w:r>
          </w:p>
        </w:tc>
        <w:tc>
          <w:tcPr>
            <w:tcW w:w="2407" w:type="dxa"/>
            <w:noWrap w:val="0"/>
            <w:vAlign w:val="center"/>
          </w:tcPr>
          <w:p w14:paraId="0098159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7F4D680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33BC922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restart"/>
            <w:noWrap w:val="0"/>
            <w:vAlign w:val="center"/>
          </w:tcPr>
          <w:p w14:paraId="28FDF22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70" w:type="dxa"/>
            <w:noWrap w:val="0"/>
            <w:vAlign w:val="center"/>
          </w:tcPr>
          <w:p w14:paraId="084BE64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F16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0C468A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B2976A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01FA6E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7B87A33">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建有能源管理中心。</w:t>
            </w:r>
          </w:p>
        </w:tc>
        <w:tc>
          <w:tcPr>
            <w:tcW w:w="2407" w:type="dxa"/>
            <w:noWrap w:val="0"/>
            <w:vAlign w:val="center"/>
          </w:tcPr>
          <w:p w14:paraId="3607032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60B8A3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F146D2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8</w:t>
            </w:r>
          </w:p>
        </w:tc>
        <w:tc>
          <w:tcPr>
            <w:tcW w:w="711" w:type="dxa"/>
            <w:vMerge w:val="continue"/>
            <w:noWrap w:val="0"/>
            <w:vAlign w:val="center"/>
          </w:tcPr>
          <w:p w14:paraId="318AC52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1941CE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749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32AFCF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7A23EA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1E9FC9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39A08CF0">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建有厂区光伏电站、智能微电网。</w:t>
            </w:r>
          </w:p>
        </w:tc>
        <w:tc>
          <w:tcPr>
            <w:tcW w:w="2407" w:type="dxa"/>
            <w:noWrap w:val="0"/>
            <w:vAlign w:val="center"/>
          </w:tcPr>
          <w:p w14:paraId="0CB29D3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23BF7A4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03266D0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0398DDF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F0C0DF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80C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A12CBB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7BE671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430FCB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49F417C5">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使用了低碳清洁的新能源。</w:t>
            </w:r>
          </w:p>
        </w:tc>
        <w:tc>
          <w:tcPr>
            <w:tcW w:w="2407" w:type="dxa"/>
            <w:noWrap w:val="0"/>
            <w:vAlign w:val="center"/>
          </w:tcPr>
          <w:p w14:paraId="6E1943C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463F5F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36755C0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0A11075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2BDB15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199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54EED3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83242B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577402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37F146B3">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使用可再生能源代替不可再生能源。</w:t>
            </w:r>
          </w:p>
        </w:tc>
        <w:tc>
          <w:tcPr>
            <w:tcW w:w="2407" w:type="dxa"/>
            <w:noWrap w:val="0"/>
            <w:vAlign w:val="center"/>
          </w:tcPr>
          <w:p w14:paraId="3EA2393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4E97D88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466C977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1A87C5A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9A5CB4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68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4A292C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3EA31D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1406D4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F50F48E">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充分利用余热余压。</w:t>
            </w:r>
          </w:p>
        </w:tc>
        <w:tc>
          <w:tcPr>
            <w:tcW w:w="2407" w:type="dxa"/>
            <w:noWrap w:val="0"/>
            <w:vAlign w:val="center"/>
          </w:tcPr>
          <w:p w14:paraId="604E5C61">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704D471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14701BE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182972B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12D9D1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CA5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DED3D2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A27C9F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129D9B8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资源</w:t>
            </w:r>
          </w:p>
          <w:p w14:paraId="14A3B9B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投入</w:t>
            </w:r>
          </w:p>
        </w:tc>
        <w:tc>
          <w:tcPr>
            <w:tcW w:w="4960" w:type="dxa"/>
            <w:noWrap w:val="0"/>
            <w:vAlign w:val="center"/>
          </w:tcPr>
          <w:p w14:paraId="5804824E">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工厂应按照GB/T 7119的要求对其开展节水评价工作，且满足GB/T 18916（所有部分）中对应本行业的取水定额要求。</w:t>
            </w:r>
          </w:p>
        </w:tc>
        <w:tc>
          <w:tcPr>
            <w:tcW w:w="2407" w:type="dxa"/>
            <w:noWrap w:val="0"/>
            <w:vAlign w:val="center"/>
          </w:tcPr>
          <w:p w14:paraId="13D981B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1D6027D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715A9A8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5AB08F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B832201">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1E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D61547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22698F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96CB3E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F88CDF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pacing w:val="-6"/>
                <w:sz w:val="24"/>
                <w:szCs w:val="22"/>
              </w:rPr>
              <w:t>工厂应减少材料</w:t>
            </w:r>
            <w:r>
              <w:rPr>
                <w:rFonts w:hint="eastAsia" w:ascii="Times New Roman" w:hAnsi="Times New Roman" w:eastAsia="仿宋_GB2312" w:cs="Times New Roman"/>
                <w:snapToGrid/>
                <w:spacing w:val="-6"/>
                <w:sz w:val="24"/>
                <w:szCs w:val="22"/>
              </w:rPr>
              <w:t>，</w:t>
            </w:r>
            <w:bookmarkStart w:id="0" w:name="_GoBack"/>
            <w:bookmarkEnd w:id="0"/>
            <w:r>
              <w:rPr>
                <w:rFonts w:ascii="Times New Roman" w:hAnsi="Times New Roman" w:eastAsia="仿宋_GB2312" w:cs="Times New Roman"/>
                <w:snapToGrid/>
                <w:spacing w:val="-6"/>
                <w:sz w:val="24"/>
                <w:szCs w:val="22"/>
              </w:rPr>
              <w:t>尤其是有害物质的使用，评估有害物质及化学品减量使用或替代的可行性。</w:t>
            </w:r>
          </w:p>
        </w:tc>
        <w:tc>
          <w:tcPr>
            <w:tcW w:w="2407" w:type="dxa"/>
            <w:noWrap w:val="0"/>
            <w:vAlign w:val="center"/>
          </w:tcPr>
          <w:p w14:paraId="4FEC3E6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3EC85D6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7F492F7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2328458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D435CC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D9D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61BAC6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649670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998DD7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5CF0D9F">
            <w:pPr>
              <w:widowControl w:val="0"/>
              <w:kinsoku/>
              <w:autoSpaceDE/>
              <w:autoSpaceDN/>
              <w:adjustRightInd/>
              <w:snapToGrid/>
              <w:spacing w:line="320" w:lineRule="exact"/>
              <w:jc w:val="both"/>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4"/>
              </w:rPr>
              <w:t>工厂应按照GB/T 29115的要求对其原材料使用量的减少进行评价。</w:t>
            </w:r>
          </w:p>
        </w:tc>
        <w:tc>
          <w:tcPr>
            <w:tcW w:w="2407" w:type="dxa"/>
            <w:noWrap w:val="0"/>
            <w:vAlign w:val="center"/>
          </w:tcPr>
          <w:p w14:paraId="23C08C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4AB773C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14657FE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4100504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250CA2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270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E7010E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B7D1CE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379901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453A609">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使用回收料、可回收材料替代原生材料、不可回收材料。</w:t>
            </w:r>
          </w:p>
        </w:tc>
        <w:tc>
          <w:tcPr>
            <w:tcW w:w="2407" w:type="dxa"/>
            <w:noWrap w:val="0"/>
            <w:vAlign w:val="center"/>
          </w:tcPr>
          <w:p w14:paraId="05F9A56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142E90D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1CBD2EB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36E3296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387BE1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0E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257540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F57285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5CE58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3C243424">
            <w:pPr>
              <w:widowControl w:val="0"/>
              <w:kinsoku/>
              <w:autoSpaceDE/>
              <w:autoSpaceDN/>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替代或减少全球增温潜势较高温室气体的使用。</w:t>
            </w:r>
          </w:p>
        </w:tc>
        <w:tc>
          <w:tcPr>
            <w:tcW w:w="2407" w:type="dxa"/>
            <w:noWrap w:val="0"/>
            <w:vAlign w:val="center"/>
          </w:tcPr>
          <w:p w14:paraId="61FC192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5C1CF48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247C2B7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473AE69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CCB69D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960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DF065B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50D888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24D002A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采购</w:t>
            </w:r>
          </w:p>
        </w:tc>
        <w:tc>
          <w:tcPr>
            <w:tcW w:w="4960" w:type="dxa"/>
            <w:noWrap w:val="0"/>
            <w:vAlign w:val="center"/>
          </w:tcPr>
          <w:p w14:paraId="4BEEABE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工厂应制定并实施包括环保要求的选择、评价和重新评价供方的准则</w:t>
            </w:r>
            <w:r>
              <w:rPr>
                <w:rFonts w:ascii="Times New Roman" w:hAnsi="Times New Roman" w:eastAsia="仿宋_GB2312" w:cs="Times New Roman"/>
                <w:snapToGrid/>
                <w:kern w:val="2"/>
                <w:sz w:val="24"/>
                <w:szCs w:val="24"/>
              </w:rPr>
              <w:t>。</w:t>
            </w:r>
          </w:p>
        </w:tc>
        <w:tc>
          <w:tcPr>
            <w:tcW w:w="2407" w:type="dxa"/>
            <w:noWrap w:val="0"/>
            <w:vAlign w:val="center"/>
          </w:tcPr>
          <w:p w14:paraId="31665B9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776FC78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76CC3B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1D51CDA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54EC06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7D5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EEC500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B2FC26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856E8D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36E589D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工厂应确定并实施检验或其他必要的活动，以确保采购的产品满足规定的采购要求。</w:t>
            </w:r>
          </w:p>
        </w:tc>
        <w:tc>
          <w:tcPr>
            <w:tcW w:w="2407" w:type="dxa"/>
            <w:noWrap w:val="0"/>
            <w:vAlign w:val="center"/>
          </w:tcPr>
          <w:p w14:paraId="43373CD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29AA389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851" w:type="dxa"/>
            <w:noWrap w:val="0"/>
            <w:vAlign w:val="center"/>
          </w:tcPr>
          <w:p w14:paraId="1549348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077019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246C35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972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0C3D43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3A72B4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BEB29E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A9B937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工厂向供方提供的采购信息包含有害物质使用、可回收材料使用、能效等环保要求。</w:t>
            </w:r>
          </w:p>
        </w:tc>
        <w:tc>
          <w:tcPr>
            <w:tcW w:w="2407" w:type="dxa"/>
            <w:noWrap w:val="0"/>
            <w:vAlign w:val="center"/>
          </w:tcPr>
          <w:p w14:paraId="636A44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0A717F7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6C8F8ED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38AD452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FC6912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5A9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281AFD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79B230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163149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85152A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满足绿色供应链评价要求。</w:t>
            </w:r>
          </w:p>
        </w:tc>
        <w:tc>
          <w:tcPr>
            <w:tcW w:w="2407" w:type="dxa"/>
            <w:noWrap w:val="0"/>
            <w:vAlign w:val="center"/>
          </w:tcPr>
          <w:p w14:paraId="07D61E7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0B7325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716DCCF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711" w:type="dxa"/>
            <w:vMerge w:val="continue"/>
            <w:noWrap w:val="0"/>
            <w:vAlign w:val="center"/>
          </w:tcPr>
          <w:p w14:paraId="4DAA240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4D8983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1CE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4407A6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1135" w:type="dxa"/>
            <w:vMerge w:val="restart"/>
            <w:noWrap w:val="0"/>
            <w:vAlign w:val="center"/>
          </w:tcPr>
          <w:p w14:paraId="1F336CF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产品</w:t>
            </w:r>
          </w:p>
        </w:tc>
        <w:tc>
          <w:tcPr>
            <w:tcW w:w="1135" w:type="dxa"/>
            <w:vMerge w:val="restart"/>
            <w:noWrap w:val="0"/>
            <w:vAlign w:val="center"/>
          </w:tcPr>
          <w:p w14:paraId="1D4844E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生态</w:t>
            </w:r>
          </w:p>
          <w:p w14:paraId="4EACE95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设计</w:t>
            </w:r>
          </w:p>
        </w:tc>
        <w:tc>
          <w:tcPr>
            <w:tcW w:w="4960" w:type="dxa"/>
            <w:noWrap w:val="0"/>
            <w:vAlign w:val="center"/>
          </w:tcPr>
          <w:p w14:paraId="26A8D93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工厂在产品设计中引入生态设计的理念。</w:t>
            </w:r>
          </w:p>
        </w:tc>
        <w:tc>
          <w:tcPr>
            <w:tcW w:w="2407" w:type="dxa"/>
            <w:noWrap w:val="0"/>
            <w:vAlign w:val="center"/>
          </w:tcPr>
          <w:p w14:paraId="7A848BE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0CA3EB1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0D62933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30</w:t>
            </w:r>
          </w:p>
        </w:tc>
        <w:tc>
          <w:tcPr>
            <w:tcW w:w="711" w:type="dxa"/>
            <w:vMerge w:val="restart"/>
            <w:noWrap w:val="0"/>
            <w:vAlign w:val="center"/>
          </w:tcPr>
          <w:p w14:paraId="433F365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70" w:type="dxa"/>
            <w:noWrap w:val="0"/>
            <w:vAlign w:val="center"/>
          </w:tcPr>
          <w:p w14:paraId="46188DA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ACF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98E9A9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C33120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CFCE4A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5DB774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pacing w:val="-6"/>
                <w:sz w:val="24"/>
                <w:szCs w:val="22"/>
              </w:rPr>
              <w:t>按照GB/T 24256对生产的产品进行生态设计。</w:t>
            </w:r>
          </w:p>
        </w:tc>
        <w:tc>
          <w:tcPr>
            <w:tcW w:w="2407" w:type="dxa"/>
            <w:noWrap w:val="0"/>
            <w:vAlign w:val="center"/>
          </w:tcPr>
          <w:p w14:paraId="7B8408D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6412E8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19C1457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20E3E4F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038AA7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A75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3326BB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674BA2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689107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488D101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32161对生产的产品进行生态设计产品评价，满足绿色产品（生态设计产品）评价要求。</w:t>
            </w:r>
          </w:p>
        </w:tc>
        <w:tc>
          <w:tcPr>
            <w:tcW w:w="2407" w:type="dxa"/>
            <w:noWrap w:val="0"/>
            <w:vAlign w:val="center"/>
          </w:tcPr>
          <w:p w14:paraId="74FA580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6C834B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1BBC5B8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764C0FD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2648FFA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BD4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06AE07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5CC0A5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1B9F3F6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有害物质使用</w:t>
            </w:r>
          </w:p>
        </w:tc>
        <w:tc>
          <w:tcPr>
            <w:tcW w:w="4960" w:type="dxa"/>
            <w:noWrap w:val="0"/>
            <w:vAlign w:val="center"/>
          </w:tcPr>
          <w:p w14:paraId="2528CDC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工厂生产的产品（包括原料和辅料）应减少有害物质的使用，避免有害物质的泄露，满足国家对产品中有害物质限制使用的要求。</w:t>
            </w:r>
          </w:p>
        </w:tc>
        <w:tc>
          <w:tcPr>
            <w:tcW w:w="2407" w:type="dxa"/>
            <w:noWrap w:val="0"/>
            <w:vAlign w:val="center"/>
          </w:tcPr>
          <w:p w14:paraId="1D03089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BCEF6F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20245B4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14:paraId="3A6B2A7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3FE65E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EC8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F9378F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D45926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A979A5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54E5F29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实现有害物质替代。</w:t>
            </w:r>
          </w:p>
        </w:tc>
        <w:tc>
          <w:tcPr>
            <w:tcW w:w="2407" w:type="dxa"/>
            <w:noWrap w:val="0"/>
            <w:vAlign w:val="center"/>
          </w:tcPr>
          <w:p w14:paraId="0C4ADAC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392D8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6D47936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7682413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29B6043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BEB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9A0E31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D22EDE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003CFCB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节能</w:t>
            </w:r>
          </w:p>
        </w:tc>
        <w:tc>
          <w:tcPr>
            <w:tcW w:w="4960" w:type="dxa"/>
            <w:noWrap w:val="0"/>
            <w:vAlign w:val="center"/>
          </w:tcPr>
          <w:p w14:paraId="79B90E1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工厂生产的产品若为用能产品或在使用过程中对最终产品/构造的能耗有影响的产品，适用时，应满足相关标准的限定值要求。未制定标准的，产品能效应不低于行业平均值。</w:t>
            </w:r>
          </w:p>
        </w:tc>
        <w:tc>
          <w:tcPr>
            <w:tcW w:w="2407" w:type="dxa"/>
            <w:noWrap w:val="0"/>
            <w:vAlign w:val="center"/>
          </w:tcPr>
          <w:p w14:paraId="70B200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0F46F4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必选（适用时）</w:t>
            </w:r>
          </w:p>
        </w:tc>
        <w:tc>
          <w:tcPr>
            <w:tcW w:w="851" w:type="dxa"/>
            <w:noWrap w:val="0"/>
            <w:vAlign w:val="center"/>
          </w:tcPr>
          <w:p w14:paraId="1D6CA93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14:paraId="7A80D2C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33BFC87">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A66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18C41B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2C35D9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7EF75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B99D22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达到相关标准中的节能评价值/先进值要求，未制定标准的，产品能效达到行业前20%的水平，前5%为满分。</w:t>
            </w:r>
          </w:p>
        </w:tc>
        <w:tc>
          <w:tcPr>
            <w:tcW w:w="2407" w:type="dxa"/>
            <w:noWrap w:val="0"/>
            <w:vAlign w:val="center"/>
          </w:tcPr>
          <w:p w14:paraId="1B91587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039352A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可选（适用时）</w:t>
            </w:r>
          </w:p>
        </w:tc>
        <w:tc>
          <w:tcPr>
            <w:tcW w:w="851" w:type="dxa"/>
            <w:noWrap w:val="0"/>
            <w:vAlign w:val="center"/>
          </w:tcPr>
          <w:p w14:paraId="2372D47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183AA32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C22E4F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0DB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2832F8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61DB3C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5E0BD0F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减碳</w:t>
            </w:r>
          </w:p>
        </w:tc>
        <w:tc>
          <w:tcPr>
            <w:tcW w:w="4960" w:type="dxa"/>
            <w:noWrap w:val="0"/>
            <w:vAlign w:val="center"/>
          </w:tcPr>
          <w:p w14:paraId="7CB7DCC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采用适用的标准或规范对产品进行碳足迹核算或核查。</w:t>
            </w:r>
          </w:p>
        </w:tc>
        <w:tc>
          <w:tcPr>
            <w:tcW w:w="2407" w:type="dxa"/>
            <w:noWrap w:val="0"/>
            <w:vAlign w:val="center"/>
          </w:tcPr>
          <w:p w14:paraId="2F92169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7BA7E9A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277604A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244880C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A6DADF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DDD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FA784C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38993E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3B62AD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39660E6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利用核算或核查结果对其产品的碳足迹进行改善。核算或核查结果对外公布。</w:t>
            </w:r>
          </w:p>
        </w:tc>
        <w:tc>
          <w:tcPr>
            <w:tcW w:w="2407" w:type="dxa"/>
            <w:noWrap w:val="0"/>
            <w:vAlign w:val="center"/>
          </w:tcPr>
          <w:p w14:paraId="01D3901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1D7E6E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67A4954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79EEB79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26861893">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CEB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54B30A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307954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A93A53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0DDD4CB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适用时，产品满足相关低碳产品要求。</w:t>
            </w:r>
          </w:p>
        </w:tc>
        <w:tc>
          <w:tcPr>
            <w:tcW w:w="2407" w:type="dxa"/>
            <w:noWrap w:val="0"/>
            <w:vAlign w:val="center"/>
          </w:tcPr>
          <w:p w14:paraId="12B4F1F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163F6DC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4C45AD9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0003284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A7F8AF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5EF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9A248D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86207E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3774CDD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可回收利用率</w:t>
            </w:r>
          </w:p>
        </w:tc>
        <w:tc>
          <w:tcPr>
            <w:tcW w:w="4960" w:type="dxa"/>
            <w:noWrap w:val="0"/>
            <w:vAlign w:val="center"/>
          </w:tcPr>
          <w:p w14:paraId="49B6FE39">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按照GB/T 20862的要求计算其产品的可回收利用率。</w:t>
            </w:r>
          </w:p>
        </w:tc>
        <w:tc>
          <w:tcPr>
            <w:tcW w:w="2407" w:type="dxa"/>
            <w:noWrap w:val="0"/>
            <w:vAlign w:val="center"/>
          </w:tcPr>
          <w:p w14:paraId="0DD6506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restart"/>
            <w:noWrap w:val="0"/>
            <w:vAlign w:val="center"/>
          </w:tcPr>
          <w:p w14:paraId="10A1B0F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F130F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2646FFB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501ED4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387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E9015B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763EE3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0F2E3D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14CCBFFD">
            <w:pPr>
              <w:widowControl w:val="0"/>
              <w:kinsoku/>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利用计算结果对产品的可回收利用率进行改善。</w:t>
            </w:r>
          </w:p>
        </w:tc>
        <w:tc>
          <w:tcPr>
            <w:tcW w:w="2407" w:type="dxa"/>
            <w:noWrap w:val="0"/>
            <w:vAlign w:val="center"/>
          </w:tcPr>
          <w:p w14:paraId="06796E9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vMerge w:val="continue"/>
            <w:noWrap w:val="0"/>
            <w:vAlign w:val="center"/>
          </w:tcPr>
          <w:p w14:paraId="07F2A63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851" w:type="dxa"/>
            <w:noWrap w:val="0"/>
            <w:vAlign w:val="center"/>
          </w:tcPr>
          <w:p w14:paraId="6E67FB0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40CCA97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A6690B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B6D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051D3CF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5</w:t>
            </w:r>
          </w:p>
        </w:tc>
        <w:tc>
          <w:tcPr>
            <w:tcW w:w="1135" w:type="dxa"/>
            <w:vMerge w:val="restart"/>
            <w:noWrap w:val="0"/>
            <w:vAlign w:val="center"/>
          </w:tcPr>
          <w:p w14:paraId="140C6B1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环境</w:t>
            </w:r>
          </w:p>
          <w:p w14:paraId="36B3DB6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排放</w:t>
            </w:r>
          </w:p>
        </w:tc>
        <w:tc>
          <w:tcPr>
            <w:tcW w:w="1135" w:type="dxa"/>
            <w:vMerge w:val="restart"/>
            <w:noWrap w:val="0"/>
            <w:vAlign w:val="center"/>
          </w:tcPr>
          <w:p w14:paraId="1BBE9EF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大气污染物</w:t>
            </w:r>
          </w:p>
        </w:tc>
        <w:tc>
          <w:tcPr>
            <w:tcW w:w="4960" w:type="dxa"/>
            <w:noWrap w:val="0"/>
            <w:vAlign w:val="center"/>
          </w:tcPr>
          <w:p w14:paraId="2A83A3C8">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工厂的大气污染物排放应符合相关国家标准、行业标准及地方标准要求，并满足区域内排放总量控制要求。</w:t>
            </w:r>
          </w:p>
        </w:tc>
        <w:tc>
          <w:tcPr>
            <w:tcW w:w="2407" w:type="dxa"/>
            <w:noWrap w:val="0"/>
            <w:vAlign w:val="center"/>
          </w:tcPr>
          <w:p w14:paraId="01833831">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1FE9CA2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73467C1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restart"/>
            <w:noWrap w:val="0"/>
            <w:vAlign w:val="center"/>
          </w:tcPr>
          <w:p w14:paraId="17ADE8D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70" w:type="dxa"/>
            <w:noWrap w:val="0"/>
            <w:vAlign w:val="center"/>
          </w:tcPr>
          <w:p w14:paraId="03FE586E">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ABB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9270DE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0509A2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CB8811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1EE63571">
            <w:pPr>
              <w:widowControl w:val="0"/>
              <w:kinsoku/>
              <w:snapToGrid/>
              <w:spacing w:line="280" w:lineRule="exact"/>
              <w:jc w:val="both"/>
              <w:textAlignment w:val="auto"/>
              <w:rPr>
                <w:rFonts w:ascii="Times New Roman" w:hAnsi="Times New Roman" w:eastAsia="仿宋_GB2312" w:cs="Times New Roman"/>
                <w:snapToGrid/>
                <w:sz w:val="24"/>
                <w:szCs w:val="24"/>
              </w:rPr>
            </w:pPr>
            <w:r>
              <w:rPr>
                <w:rFonts w:ascii="Times New Roman" w:hAnsi="Times New Roman" w:eastAsia="仿宋_GB2312" w:cs="Times New Roman"/>
                <w:snapToGrid/>
                <w:sz w:val="24"/>
                <w:szCs w:val="22"/>
              </w:rPr>
              <w:t>工厂的主要大气污染物排放满足标准中更高等级的要求。</w:t>
            </w:r>
          </w:p>
        </w:tc>
        <w:tc>
          <w:tcPr>
            <w:tcW w:w="2407" w:type="dxa"/>
            <w:noWrap w:val="0"/>
            <w:vAlign w:val="center"/>
          </w:tcPr>
          <w:p w14:paraId="23DE93B8">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3276D2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730BA8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423F399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770" w:type="dxa"/>
            <w:noWrap w:val="0"/>
            <w:vAlign w:val="center"/>
          </w:tcPr>
          <w:p w14:paraId="793ECF5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13B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34" w:hRule="atLeast"/>
          <w:jc w:val="center"/>
        </w:trPr>
        <w:tc>
          <w:tcPr>
            <w:tcW w:w="704" w:type="dxa"/>
            <w:vMerge w:val="continue"/>
            <w:noWrap w:val="0"/>
            <w:vAlign w:val="center"/>
          </w:tcPr>
          <w:p w14:paraId="2E90B98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6A6A0A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6F8624B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水体污染物</w:t>
            </w:r>
          </w:p>
        </w:tc>
        <w:tc>
          <w:tcPr>
            <w:tcW w:w="4960" w:type="dxa"/>
            <w:noWrap w:val="0"/>
            <w:vAlign w:val="center"/>
          </w:tcPr>
          <w:p w14:paraId="6AC00EFC">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14:paraId="5C1F5900">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16700E6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1D07F26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15</w:t>
            </w:r>
          </w:p>
        </w:tc>
        <w:tc>
          <w:tcPr>
            <w:tcW w:w="711" w:type="dxa"/>
            <w:vMerge w:val="continue"/>
            <w:noWrap w:val="0"/>
            <w:vAlign w:val="center"/>
          </w:tcPr>
          <w:p w14:paraId="565E105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7ECFB63">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00F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14:paraId="3FFD2CE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0ED31D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2F5A65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7EB16A24">
            <w:pPr>
              <w:widowControl w:val="0"/>
              <w:kinsoku/>
              <w:snapToGrid/>
              <w:spacing w:line="280" w:lineRule="exact"/>
              <w:jc w:val="both"/>
              <w:textAlignment w:val="auto"/>
              <w:rPr>
                <w:rFonts w:ascii="Times New Roman" w:hAnsi="Times New Roman" w:eastAsia="仿宋_GB2312" w:cs="Times New Roman"/>
                <w:snapToGrid/>
                <w:sz w:val="24"/>
                <w:szCs w:val="22"/>
              </w:rPr>
            </w:pPr>
            <w:r>
              <w:rPr>
                <w:rFonts w:ascii="Times New Roman" w:hAnsi="Times New Roman" w:eastAsia="仿宋_GB2312" w:cs="Times New Roman"/>
                <w:snapToGrid/>
                <w:sz w:val="24"/>
                <w:szCs w:val="22"/>
              </w:rPr>
              <w:t>工厂的主要水体污染物排放满足标准中更高等级的要求。</w:t>
            </w:r>
          </w:p>
        </w:tc>
        <w:tc>
          <w:tcPr>
            <w:tcW w:w="2407" w:type="dxa"/>
            <w:noWrap w:val="0"/>
            <w:vAlign w:val="center"/>
          </w:tcPr>
          <w:p w14:paraId="6932BE4E">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4DCBEA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1D80C6C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4C43A31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6463AF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916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255" w:hRule="atLeast"/>
          <w:jc w:val="center"/>
        </w:trPr>
        <w:tc>
          <w:tcPr>
            <w:tcW w:w="704" w:type="dxa"/>
            <w:vMerge w:val="continue"/>
            <w:noWrap w:val="0"/>
            <w:vAlign w:val="center"/>
          </w:tcPr>
          <w:p w14:paraId="188DBA6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DD3117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14:paraId="337D227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固体废弃物</w:t>
            </w:r>
          </w:p>
        </w:tc>
        <w:tc>
          <w:tcPr>
            <w:tcW w:w="4960" w:type="dxa"/>
            <w:noWrap w:val="0"/>
            <w:vAlign w:val="center"/>
          </w:tcPr>
          <w:p w14:paraId="4230AC8C">
            <w:pPr>
              <w:widowControl w:val="0"/>
              <w:kinsoku/>
              <w:autoSpaceDE/>
              <w:autoSpaceDN/>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14:paraId="1526CD78">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18111C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5C8ADAF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2153F08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C2416D1">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BBC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14:paraId="03DC832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2DE95B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noWrap w:val="0"/>
            <w:vAlign w:val="center"/>
          </w:tcPr>
          <w:p w14:paraId="466DE4A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噪声</w:t>
            </w:r>
          </w:p>
        </w:tc>
        <w:tc>
          <w:tcPr>
            <w:tcW w:w="4960" w:type="dxa"/>
            <w:noWrap w:val="0"/>
            <w:vAlign w:val="center"/>
          </w:tcPr>
          <w:p w14:paraId="58467AF1">
            <w:pPr>
              <w:widowControl w:val="0"/>
              <w:kinsoku/>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2"/>
              </w:rPr>
              <w:t>工厂的厂界环境噪声排放应符合相关国家标准、行业标准及地方标准要求。</w:t>
            </w:r>
          </w:p>
        </w:tc>
        <w:tc>
          <w:tcPr>
            <w:tcW w:w="2407" w:type="dxa"/>
            <w:noWrap w:val="0"/>
            <w:vAlign w:val="center"/>
          </w:tcPr>
          <w:p w14:paraId="7F7F948C">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41697CF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11B2A35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65E7354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AD125B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4BD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18" w:hRule="atLeast"/>
          <w:jc w:val="center"/>
        </w:trPr>
        <w:tc>
          <w:tcPr>
            <w:tcW w:w="704" w:type="dxa"/>
            <w:vMerge w:val="continue"/>
            <w:noWrap w:val="0"/>
            <w:vAlign w:val="center"/>
          </w:tcPr>
          <w:p w14:paraId="32A0B92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D282D6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78D8083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温室</w:t>
            </w:r>
          </w:p>
          <w:p w14:paraId="3F48DDA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气体</w:t>
            </w:r>
          </w:p>
        </w:tc>
        <w:tc>
          <w:tcPr>
            <w:tcW w:w="4960" w:type="dxa"/>
            <w:noWrap w:val="0"/>
            <w:vAlign w:val="center"/>
          </w:tcPr>
          <w:p w14:paraId="0DBDA12B">
            <w:pPr>
              <w:widowControl w:val="0"/>
              <w:kinsoku/>
              <w:autoSpaceDE/>
              <w:autoSpaceDN/>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sz w:val="24"/>
                <w:szCs w:val="24"/>
              </w:rPr>
              <w:t>工厂应采用GB/T 32150或适用的标准或规范对其厂界范围内的温室气体排放进行核算和报告。</w:t>
            </w:r>
          </w:p>
        </w:tc>
        <w:tc>
          <w:tcPr>
            <w:tcW w:w="2407" w:type="dxa"/>
            <w:noWrap w:val="0"/>
            <w:vAlign w:val="center"/>
          </w:tcPr>
          <w:p w14:paraId="54F6B604">
            <w:pPr>
              <w:widowControl w:val="0"/>
              <w:kinsoku/>
              <w:autoSpaceDE/>
              <w:autoSpaceDN/>
              <w:adjustRightInd/>
              <w:snapToGrid/>
              <w:spacing w:line="28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3E85065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4B55CB2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61C227F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4184A6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23B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3E0A42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9DD1ED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1C397D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69902C9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获得温室气体排放量第三方核查声明。</w:t>
            </w:r>
          </w:p>
        </w:tc>
        <w:tc>
          <w:tcPr>
            <w:tcW w:w="2407" w:type="dxa"/>
            <w:noWrap w:val="0"/>
            <w:vAlign w:val="center"/>
          </w:tcPr>
          <w:p w14:paraId="519BCBD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A33711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1AAE472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10</w:t>
            </w:r>
          </w:p>
        </w:tc>
        <w:tc>
          <w:tcPr>
            <w:tcW w:w="711" w:type="dxa"/>
            <w:vMerge w:val="continue"/>
            <w:noWrap w:val="0"/>
            <w:vAlign w:val="center"/>
          </w:tcPr>
          <w:p w14:paraId="2A9FCF0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EB855F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12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E0724A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4A2EAC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627142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7CAFD20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核查结果对外公布。</w:t>
            </w:r>
          </w:p>
        </w:tc>
        <w:tc>
          <w:tcPr>
            <w:tcW w:w="2407" w:type="dxa"/>
            <w:noWrap w:val="0"/>
            <w:vAlign w:val="center"/>
          </w:tcPr>
          <w:p w14:paraId="41AB3E6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AB3E32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5683980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07899A4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99AE44E">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7A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89DC62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3E282A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58FA2B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0780EC2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可行时，利用核算或核查结果对其温室气体的排放进行改善。</w:t>
            </w:r>
          </w:p>
        </w:tc>
        <w:tc>
          <w:tcPr>
            <w:tcW w:w="2407" w:type="dxa"/>
            <w:noWrap w:val="0"/>
            <w:vAlign w:val="center"/>
          </w:tcPr>
          <w:p w14:paraId="3C31148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397116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258667A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1972E1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CD03C88">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13C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restart"/>
            <w:noWrap w:val="0"/>
            <w:vAlign w:val="center"/>
          </w:tcPr>
          <w:p w14:paraId="2613BE3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1135" w:type="dxa"/>
            <w:vMerge w:val="restart"/>
            <w:noWrap w:val="0"/>
            <w:vAlign w:val="center"/>
          </w:tcPr>
          <w:p w14:paraId="068FDD4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绩效</w:t>
            </w:r>
          </w:p>
        </w:tc>
        <w:tc>
          <w:tcPr>
            <w:tcW w:w="1135" w:type="dxa"/>
            <w:vMerge w:val="restart"/>
            <w:noWrap w:val="0"/>
            <w:vAlign w:val="center"/>
          </w:tcPr>
          <w:p w14:paraId="4995B96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用地集约化</w:t>
            </w:r>
          </w:p>
        </w:tc>
        <w:tc>
          <w:tcPr>
            <w:tcW w:w="4960" w:type="dxa"/>
            <w:noWrap w:val="0"/>
            <w:vAlign w:val="center"/>
          </w:tcPr>
          <w:p w14:paraId="11978F7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36132附录A计算工厂容积率，指标应不低于《工业项目建设用地控制指标》的要求。</w:t>
            </w:r>
          </w:p>
        </w:tc>
        <w:tc>
          <w:tcPr>
            <w:tcW w:w="2407" w:type="dxa"/>
            <w:vMerge w:val="restart"/>
            <w:noWrap w:val="0"/>
            <w:vAlign w:val="center"/>
          </w:tcPr>
          <w:p w14:paraId="19B0FD7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85431A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34271EC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restart"/>
            <w:noWrap w:val="0"/>
            <w:vAlign w:val="center"/>
          </w:tcPr>
          <w:p w14:paraId="7A080E1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30%</w:t>
            </w:r>
          </w:p>
        </w:tc>
        <w:tc>
          <w:tcPr>
            <w:tcW w:w="770" w:type="dxa"/>
            <w:noWrap w:val="0"/>
            <w:vAlign w:val="center"/>
          </w:tcPr>
          <w:p w14:paraId="1381D36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D4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48F598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BA633F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8660E0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D25545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36132附录A计算工厂容积率，指标达到《工业项目建设用地控制指标》要求的1.2倍及以上，2倍及以上为满分。</w:t>
            </w:r>
          </w:p>
        </w:tc>
        <w:tc>
          <w:tcPr>
            <w:tcW w:w="2407" w:type="dxa"/>
            <w:vMerge w:val="continue"/>
            <w:noWrap w:val="0"/>
            <w:vAlign w:val="center"/>
          </w:tcPr>
          <w:p w14:paraId="767839D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571403E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5488A4F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14:paraId="6091EB0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F18D70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A05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9C9392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723238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E93B06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4844D91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36132附录A计算工厂建筑密度，建筑密度不低于30%。</w:t>
            </w:r>
          </w:p>
        </w:tc>
        <w:tc>
          <w:tcPr>
            <w:tcW w:w="2407" w:type="dxa"/>
            <w:vMerge w:val="restart"/>
            <w:noWrap w:val="0"/>
            <w:vAlign w:val="center"/>
          </w:tcPr>
          <w:p w14:paraId="1F2F4D1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448BE00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6B2C23A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4B9B4A5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349E75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3421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162C6C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05C590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22DDBA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163D50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36132附录A计算工厂建筑密度，建筑密度达到40%。</w:t>
            </w:r>
          </w:p>
        </w:tc>
        <w:tc>
          <w:tcPr>
            <w:tcW w:w="2407" w:type="dxa"/>
            <w:vMerge w:val="continue"/>
            <w:noWrap w:val="0"/>
            <w:vAlign w:val="center"/>
          </w:tcPr>
          <w:p w14:paraId="4D7A5E4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76FC4F8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57E2305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14:paraId="70249F3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7CC0508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r w14:paraId="34EF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780" w:hRule="atLeast"/>
          <w:jc w:val="center"/>
        </w:trPr>
        <w:tc>
          <w:tcPr>
            <w:tcW w:w="704" w:type="dxa"/>
            <w:vMerge w:val="continue"/>
            <w:noWrap w:val="0"/>
            <w:vAlign w:val="center"/>
          </w:tcPr>
          <w:p w14:paraId="35BF1B6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65EA87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B66884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095AD78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noWrap w:val="0"/>
            <w:vAlign w:val="center"/>
          </w:tcPr>
          <w:p w14:paraId="33B9F6F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25ACE1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67FAFD5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0EE89DC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BCF4A5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D8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078" w:hRule="atLeast"/>
          <w:jc w:val="center"/>
        </w:trPr>
        <w:tc>
          <w:tcPr>
            <w:tcW w:w="704" w:type="dxa"/>
            <w:vMerge w:val="continue"/>
            <w:noWrap w:val="0"/>
            <w:vAlign w:val="center"/>
          </w:tcPr>
          <w:p w14:paraId="05BE985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0B5529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F8DBA8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3BC428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vMerge w:val="continue"/>
            <w:noWrap w:val="0"/>
            <w:vAlign w:val="center"/>
          </w:tcPr>
          <w:p w14:paraId="008BAF0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67F1256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4B7AC8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14:paraId="7BF3A29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9F06DD2">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8FD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1B09B6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EDC205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1D58E0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原料无害化</w:t>
            </w:r>
          </w:p>
        </w:tc>
        <w:tc>
          <w:tcPr>
            <w:tcW w:w="4960" w:type="dxa"/>
            <w:noWrap w:val="0"/>
            <w:vAlign w:val="center"/>
          </w:tcPr>
          <w:p w14:paraId="491948E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36132附录A识别、统计和计算工厂的绿色物料使用情况。</w:t>
            </w:r>
          </w:p>
        </w:tc>
        <w:tc>
          <w:tcPr>
            <w:tcW w:w="2407" w:type="dxa"/>
            <w:noWrap w:val="0"/>
            <w:vAlign w:val="center"/>
          </w:tcPr>
          <w:p w14:paraId="1A4DCB7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343F26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075EB73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0A89C2E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104FD4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59B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D61D5B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9DD402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BD6E20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00647D0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36132附录A计算工厂主要物料的绿色物料使用率达30%及以上。</w:t>
            </w:r>
          </w:p>
        </w:tc>
        <w:tc>
          <w:tcPr>
            <w:tcW w:w="2407" w:type="dxa"/>
            <w:noWrap w:val="0"/>
            <w:vAlign w:val="center"/>
          </w:tcPr>
          <w:p w14:paraId="0D2CF8B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6BC811CD">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25A8733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2BF52B7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4F2BDE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96D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C77643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A6959F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23A06D2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生产洁净化</w:t>
            </w:r>
          </w:p>
        </w:tc>
        <w:tc>
          <w:tcPr>
            <w:tcW w:w="4960" w:type="dxa"/>
            <w:noWrap w:val="0"/>
            <w:vAlign w:val="center"/>
          </w:tcPr>
          <w:p w14:paraId="5B9D169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noWrap w:val="0"/>
            <w:vAlign w:val="center"/>
          </w:tcPr>
          <w:p w14:paraId="6BEEF8F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46576C2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3F9B22A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2491C1C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C662BEF">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E48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9198C1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A317E0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9F1354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1FF2897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vMerge w:val="continue"/>
            <w:noWrap w:val="0"/>
            <w:vAlign w:val="center"/>
          </w:tcPr>
          <w:p w14:paraId="5E23A5E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2CD2D7D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516EA8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5BAB770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713059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1AC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C8262C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487891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18265B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9740D3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36132附录A计算单位产品废气产生量，指标应不高于行业平均水平。（装备、电子、电器等离散制造业可采用单位产值或单位工业增加值指标。）</w:t>
            </w:r>
          </w:p>
        </w:tc>
        <w:tc>
          <w:tcPr>
            <w:tcW w:w="2407" w:type="dxa"/>
            <w:vMerge w:val="restart"/>
            <w:noWrap w:val="0"/>
            <w:vAlign w:val="center"/>
          </w:tcPr>
          <w:p w14:paraId="28ECAAEE">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10DE59F5">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6EE5B05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4EA4610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07A34DA1">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3768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738601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6A1F0E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B86603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042F56D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36132附录A计算单位产品废气产生量，指标优于行业前20%水平。（装备、电子、电器等离散制造业可采用单位产值或单位工业增加值指标。）前5%为满分。</w:t>
            </w:r>
          </w:p>
        </w:tc>
        <w:tc>
          <w:tcPr>
            <w:tcW w:w="2407" w:type="dxa"/>
            <w:vMerge w:val="continue"/>
            <w:noWrap w:val="0"/>
            <w:vAlign w:val="center"/>
          </w:tcPr>
          <w:p w14:paraId="796B500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3E1E484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96222B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42289C4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6969956E">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22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C3D637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A61227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E7C8FD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03BFE0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36132附录A计算单位产品废水产生量，指标应不高于行业平均水平。（装备、电子、电器等离散制造业可采用单位产值或单位工业增加值指标。）</w:t>
            </w:r>
          </w:p>
        </w:tc>
        <w:tc>
          <w:tcPr>
            <w:tcW w:w="2407" w:type="dxa"/>
            <w:vMerge w:val="restart"/>
            <w:noWrap w:val="0"/>
            <w:vAlign w:val="center"/>
          </w:tcPr>
          <w:p w14:paraId="3E2C193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4CEF757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5C8BE7E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7DA1EB2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6BB0D8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19D2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6C6239D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97BC7E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949F11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C3C123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36132附录A计算单位产品废水产生量，指标优于行业前20%水平。（装备、电子、电器等离散制造业可采用单位产值或单位工业增加值指标。）前5%为满分。</w:t>
            </w:r>
          </w:p>
        </w:tc>
        <w:tc>
          <w:tcPr>
            <w:tcW w:w="2407" w:type="dxa"/>
            <w:vMerge w:val="continue"/>
            <w:noWrap w:val="0"/>
            <w:vAlign w:val="center"/>
          </w:tcPr>
          <w:p w14:paraId="3144D80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7098052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44E8ADA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7DA3DB9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DE21E7D">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C78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99FEAC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AC0C06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7927701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废物资源化</w:t>
            </w:r>
          </w:p>
        </w:tc>
        <w:tc>
          <w:tcPr>
            <w:tcW w:w="4960" w:type="dxa"/>
            <w:noWrap w:val="0"/>
            <w:vAlign w:val="center"/>
          </w:tcPr>
          <w:p w14:paraId="1C047F4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36132附录A计算单位产品主要原材料消耗量，指标应不高于行业平均水平。</w:t>
            </w:r>
          </w:p>
        </w:tc>
        <w:tc>
          <w:tcPr>
            <w:tcW w:w="2407" w:type="dxa"/>
            <w:vMerge w:val="restart"/>
            <w:noWrap w:val="0"/>
            <w:vAlign w:val="center"/>
          </w:tcPr>
          <w:p w14:paraId="6BFA4008">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20BF123B">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637127E1">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5F8446D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1DC9CA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D21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285BD5F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E1007C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424A12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8298AB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36132附录A计算单位产品主要原材料消耗量，指标优于行业前20%水平，前5%为满分。</w:t>
            </w:r>
          </w:p>
        </w:tc>
        <w:tc>
          <w:tcPr>
            <w:tcW w:w="2407" w:type="dxa"/>
            <w:vMerge w:val="continue"/>
            <w:noWrap w:val="0"/>
            <w:vAlign w:val="center"/>
          </w:tcPr>
          <w:p w14:paraId="48EF164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121C721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4C2418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65942DF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54D0AF9">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CCF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00D86FF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5DB631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66298A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538634D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36132附录A计算工业固体废物综合利用率，指标应大于65%（根据行业特点，该指标可在±20%之间选取）。</w:t>
            </w:r>
          </w:p>
        </w:tc>
        <w:tc>
          <w:tcPr>
            <w:tcW w:w="2407" w:type="dxa"/>
            <w:vMerge w:val="restart"/>
            <w:noWrap w:val="0"/>
            <w:vAlign w:val="center"/>
          </w:tcPr>
          <w:p w14:paraId="08A66AF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2F0EC48">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25A921E3">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7CA33E7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DDEC6B4">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2A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94BA9B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2267850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378AB8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4F6596D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36132附录A计算工业固体废物综合利用率，指标达到73%（根据行业特点，该指标可在±20%之间选取），90%为满分。</w:t>
            </w:r>
          </w:p>
        </w:tc>
        <w:tc>
          <w:tcPr>
            <w:tcW w:w="2407" w:type="dxa"/>
            <w:vMerge w:val="continue"/>
            <w:noWrap w:val="0"/>
            <w:vAlign w:val="center"/>
          </w:tcPr>
          <w:p w14:paraId="7F4BA63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1003CAF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0213A71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71B5C9A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E72284B">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0FA9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197D859C">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78B5F25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59F18C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1BAFA5B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36132附录A计算废水处理回用率，指标高于行业平均值。</w:t>
            </w:r>
          </w:p>
        </w:tc>
        <w:tc>
          <w:tcPr>
            <w:tcW w:w="2407" w:type="dxa"/>
            <w:vMerge w:val="restart"/>
            <w:noWrap w:val="0"/>
            <w:vAlign w:val="center"/>
          </w:tcPr>
          <w:p w14:paraId="311A8B9C">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032E723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47128967">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1DC01FA9">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4EA67081">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07A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9AB3921">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83515F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A59C5A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p>
        </w:tc>
        <w:tc>
          <w:tcPr>
            <w:tcW w:w="4960" w:type="dxa"/>
            <w:noWrap w:val="0"/>
            <w:vAlign w:val="center"/>
          </w:tcPr>
          <w:p w14:paraId="2EAE858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36132附录A计算废水处理回用率，指标优于行业前20%水平，前5%为满分。</w:t>
            </w:r>
          </w:p>
        </w:tc>
        <w:tc>
          <w:tcPr>
            <w:tcW w:w="2407" w:type="dxa"/>
            <w:vMerge w:val="continue"/>
            <w:noWrap w:val="0"/>
            <w:vAlign w:val="center"/>
          </w:tcPr>
          <w:p w14:paraId="7141784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5A49F50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B306C76">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169B521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278E2A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4C29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77C71B7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131A049E">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restart"/>
            <w:noWrap w:val="0"/>
            <w:vAlign w:val="center"/>
          </w:tcPr>
          <w:p w14:paraId="1C7B0D2E">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能源低碳化</w:t>
            </w:r>
          </w:p>
        </w:tc>
        <w:tc>
          <w:tcPr>
            <w:tcW w:w="4960" w:type="dxa"/>
            <w:noWrap w:val="0"/>
            <w:vAlign w:val="center"/>
          </w:tcPr>
          <w:p w14:paraId="66EB84F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14:paraId="0302E5E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16E76390">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74FA664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6</w:t>
            </w:r>
          </w:p>
        </w:tc>
        <w:tc>
          <w:tcPr>
            <w:tcW w:w="711" w:type="dxa"/>
            <w:vMerge w:val="continue"/>
            <w:noWrap w:val="0"/>
            <w:vAlign w:val="center"/>
          </w:tcPr>
          <w:p w14:paraId="179E9DB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028D306">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7676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467DF8CA">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47C858C8">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6C6F4E7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72C971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14:paraId="077F5BF3">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70571B29">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18A54CD2">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4</w:t>
            </w:r>
          </w:p>
        </w:tc>
        <w:tc>
          <w:tcPr>
            <w:tcW w:w="711" w:type="dxa"/>
            <w:vMerge w:val="continue"/>
            <w:noWrap w:val="0"/>
            <w:vAlign w:val="center"/>
          </w:tcPr>
          <w:p w14:paraId="0FD7E83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12FE986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62DE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33A8F08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B056D0D">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54A2B555">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2CD97A7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36132附录A计算单位产品碳排放量，指标应优于行业平均水平。（装备、电子、电器等离散制造业可采用单位产值或单位工业增加值指标。）</w:t>
            </w:r>
          </w:p>
        </w:tc>
        <w:tc>
          <w:tcPr>
            <w:tcW w:w="2407" w:type="dxa"/>
            <w:vMerge w:val="restart"/>
            <w:noWrap w:val="0"/>
            <w:vAlign w:val="center"/>
          </w:tcPr>
          <w:p w14:paraId="6B6BE99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c>
          <w:tcPr>
            <w:tcW w:w="1275" w:type="dxa"/>
            <w:noWrap w:val="0"/>
            <w:vAlign w:val="center"/>
          </w:tcPr>
          <w:p w14:paraId="59CFF3EC">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必选</w:t>
            </w:r>
          </w:p>
        </w:tc>
        <w:tc>
          <w:tcPr>
            <w:tcW w:w="851" w:type="dxa"/>
            <w:noWrap w:val="0"/>
            <w:vAlign w:val="center"/>
          </w:tcPr>
          <w:p w14:paraId="1A9F0984">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3</w:t>
            </w:r>
          </w:p>
        </w:tc>
        <w:tc>
          <w:tcPr>
            <w:tcW w:w="711" w:type="dxa"/>
            <w:vMerge w:val="continue"/>
            <w:noWrap w:val="0"/>
            <w:vAlign w:val="center"/>
          </w:tcPr>
          <w:p w14:paraId="69C87CB7">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5E5B96AA">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5C01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704" w:type="dxa"/>
            <w:vMerge w:val="continue"/>
            <w:noWrap w:val="0"/>
            <w:vAlign w:val="center"/>
          </w:tcPr>
          <w:p w14:paraId="504D6580">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3DB2070F">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135" w:type="dxa"/>
            <w:vMerge w:val="continue"/>
            <w:noWrap w:val="0"/>
            <w:vAlign w:val="center"/>
          </w:tcPr>
          <w:p w14:paraId="052FAC04">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4960" w:type="dxa"/>
            <w:noWrap w:val="0"/>
            <w:vAlign w:val="center"/>
          </w:tcPr>
          <w:p w14:paraId="37706892">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按照GB/T 36132附录A计算单位产品碳排放量，指标优于行业前20%水平。（装备、电子、电器等离散制造业可采用单位产值或单位工业增加值指标。）前5%为满分。</w:t>
            </w:r>
          </w:p>
        </w:tc>
        <w:tc>
          <w:tcPr>
            <w:tcW w:w="2407" w:type="dxa"/>
            <w:vMerge w:val="continue"/>
            <w:noWrap w:val="0"/>
            <w:vAlign w:val="center"/>
          </w:tcPr>
          <w:p w14:paraId="007D87EB">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1275" w:type="dxa"/>
            <w:noWrap w:val="0"/>
            <w:vAlign w:val="center"/>
          </w:tcPr>
          <w:p w14:paraId="54A3256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可选</w:t>
            </w:r>
          </w:p>
        </w:tc>
        <w:tc>
          <w:tcPr>
            <w:tcW w:w="851" w:type="dxa"/>
            <w:noWrap w:val="0"/>
            <w:vAlign w:val="center"/>
          </w:tcPr>
          <w:p w14:paraId="3FFD751A">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2</w:t>
            </w:r>
          </w:p>
        </w:tc>
        <w:tc>
          <w:tcPr>
            <w:tcW w:w="711" w:type="dxa"/>
            <w:vMerge w:val="continue"/>
            <w:noWrap w:val="0"/>
            <w:vAlign w:val="center"/>
          </w:tcPr>
          <w:p w14:paraId="5996C0D6">
            <w:pPr>
              <w:widowControl w:val="0"/>
              <w:kinsoku/>
              <w:autoSpaceDE/>
              <w:autoSpaceDN/>
              <w:adjustRightInd/>
              <w:snapToGrid/>
              <w:spacing w:line="320" w:lineRule="exact"/>
              <w:jc w:val="both"/>
              <w:textAlignment w:val="auto"/>
              <w:rPr>
                <w:rFonts w:ascii="Times New Roman" w:hAnsi="Times New Roman" w:eastAsia="仿宋_GB2312" w:cs="Times New Roman"/>
                <w:snapToGrid/>
                <w:kern w:val="2"/>
                <w:sz w:val="24"/>
                <w:szCs w:val="24"/>
              </w:rPr>
            </w:pPr>
          </w:p>
        </w:tc>
        <w:tc>
          <w:tcPr>
            <w:tcW w:w="770" w:type="dxa"/>
            <w:noWrap w:val="0"/>
            <w:vAlign w:val="center"/>
          </w:tcPr>
          <w:p w14:paraId="37324FA5">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　</w:t>
            </w:r>
          </w:p>
        </w:tc>
      </w:tr>
      <w:tr w14:paraId="264C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jc w:val="center"/>
        </w:trPr>
        <w:tc>
          <w:tcPr>
            <w:tcW w:w="13178" w:type="dxa"/>
            <w:gridSpan w:val="8"/>
            <w:noWrap w:val="0"/>
            <w:vAlign w:val="center"/>
          </w:tcPr>
          <w:p w14:paraId="7D7501AF">
            <w:pPr>
              <w:widowControl w:val="0"/>
              <w:kinsoku/>
              <w:autoSpaceDE/>
              <w:autoSpaceDN/>
              <w:adjustRightInd/>
              <w:snapToGrid/>
              <w:spacing w:line="320" w:lineRule="exact"/>
              <w:jc w:val="center"/>
              <w:textAlignment w:val="auto"/>
              <w:rPr>
                <w:rFonts w:ascii="Times New Roman" w:hAnsi="Times New Roman" w:eastAsia="仿宋_GB2312" w:cs="Times New Roman"/>
                <w:snapToGrid/>
                <w:kern w:val="2"/>
                <w:sz w:val="24"/>
                <w:szCs w:val="24"/>
              </w:rPr>
            </w:pPr>
            <w:r>
              <w:rPr>
                <w:rFonts w:ascii="Times New Roman" w:hAnsi="Times New Roman" w:eastAsia="仿宋_GB2312" w:cs="Times New Roman"/>
                <w:snapToGrid/>
                <w:kern w:val="2"/>
                <w:sz w:val="24"/>
                <w:szCs w:val="24"/>
              </w:rPr>
              <w:t>总分</w:t>
            </w:r>
          </w:p>
        </w:tc>
        <w:tc>
          <w:tcPr>
            <w:tcW w:w="770" w:type="dxa"/>
            <w:noWrap w:val="0"/>
            <w:vAlign w:val="center"/>
          </w:tcPr>
          <w:p w14:paraId="0FD36960">
            <w:pPr>
              <w:widowControl w:val="0"/>
              <w:kinsoku/>
              <w:autoSpaceDE/>
              <w:autoSpaceDN/>
              <w:adjustRightInd/>
              <w:snapToGrid/>
              <w:spacing w:line="320" w:lineRule="exact"/>
              <w:textAlignment w:val="auto"/>
              <w:rPr>
                <w:rFonts w:ascii="Times New Roman" w:hAnsi="Times New Roman" w:eastAsia="仿宋_GB2312" w:cs="Times New Roman"/>
                <w:snapToGrid/>
                <w:kern w:val="2"/>
                <w:sz w:val="24"/>
                <w:szCs w:val="24"/>
              </w:rPr>
            </w:pPr>
          </w:p>
        </w:tc>
      </w:tr>
    </w:tbl>
    <w:p w14:paraId="229BEBAE">
      <w:pPr>
        <w:widowControl w:val="0"/>
        <w:kinsoku/>
        <w:autoSpaceDE/>
        <w:autoSpaceDN/>
        <w:adjustRightInd/>
        <w:spacing w:line="480" w:lineRule="auto"/>
        <w:jc w:val="both"/>
        <w:textAlignment w:val="auto"/>
        <w:outlineLvl w:val="0"/>
        <w:sectPr>
          <w:pgSz w:w="16838" w:h="11906" w:orient="landscape"/>
          <w:pgMar w:top="2098" w:right="1247" w:bottom="1417" w:left="1587" w:header="1361" w:footer="992" w:gutter="0"/>
          <w:pgNumType w:fmt="numberInDash"/>
          <w:cols w:space="0" w:num="1"/>
          <w:rtlGutter w:val="0"/>
          <w:docGrid w:type="lines" w:linePitch="312" w:charSpace="0"/>
        </w:sectPr>
      </w:pPr>
      <w:r>
        <w:rPr>
          <w:rFonts w:ascii="Times New Roman" w:hAnsi="Times New Roman" w:eastAsia="仿宋_GB2312" w:cs="Times New Roman"/>
          <w:snapToGrid/>
          <w:kern w:val="2"/>
          <w:sz w:val="24"/>
          <w:szCs w:val="24"/>
        </w:rPr>
        <w:t>注：绿色工厂必须满足各项必选要求，可选要求按照受评工厂满足程度在0分到满分中取值。</w:t>
      </w:r>
    </w:p>
    <w:p w14:paraId="5DBA02EA"/>
    <w:sectPr>
      <w:pgSz w:w="16838" w:h="11906" w:orient="landscape"/>
      <w:pgMar w:top="1587" w:right="2098" w:bottom="1247" w:left="1417" w:header="136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简体">
    <w:altName w:val="微软雅黑"/>
    <w:panose1 w:val="02010601030101010101"/>
    <w:charset w:val="00"/>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大标宋简体">
    <w:altName w:val="宋体"/>
    <w:panose1 w:val="02010601030101010101"/>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6884A3A"/>
    <w:rsid w:val="45B86C39"/>
    <w:rsid w:val="4A1947CF"/>
    <w:rsid w:val="5BED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List Paragraph"/>
    <w:basedOn w:val="1"/>
    <w:qFormat/>
    <w:uiPriority w:val="34"/>
    <w:pPr>
      <w:widowControl/>
      <w:spacing w:before="100" w:beforeAutospacing="1" w:after="100" w:afterAutospacing="1"/>
      <w:jc w:val="left"/>
    </w:pPr>
    <w:rPr>
      <w:rFonts w:ascii="宋体" w:hAnsi="宋体" w:eastAsia="宋体" w:cs="宋体"/>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4382</Words>
  <Characters>4647</Characters>
  <Lines>0</Lines>
  <Paragraphs>0</Paragraphs>
  <TotalTime>2</TotalTime>
  <ScaleCrop>false</ScaleCrop>
  <LinksUpToDate>false</LinksUpToDate>
  <CharactersWithSpaces>4962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LEIMINJIE</cp:lastModifiedBy>
  <dcterms:modified xsi:type="dcterms:W3CDTF">2025-09-18T01:52:47Z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eyJoZGlkIjoiYWM2NTdhZDBjZDg5MWM0NzAwZTkxODQ3NjZkNzFhN2IiLCJ1c2VySWQiOiI2OTU1NTUxOTQifQ==</vt:lpwstr>
  </property>
  <property fmtid="{D5CDD505-2E9C-101B-9397-08002B2CF9AE}" pid="4" name="ICV">
    <vt:lpwstr>F59371B016304C4E8C9F955323787BC6_13</vt:lpwstr>
  </property>
</Properties>
</file>