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0"/>
          <w:tab w:val="left" w:pos="2127"/>
        </w:tabs>
        <w:spacing w:line="600" w:lineRule="exact"/>
        <w:jc w:val="left"/>
        <w:rPr>
          <w:rFonts w:ascii="Times New Roman" w:hAnsi="Times New Roman" w:eastAsia="仿宋"/>
          <w:sz w:val="32"/>
          <w:szCs w:val="32"/>
          <w:lang w:val="en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  <w:lang w:val="en"/>
        </w:rPr>
        <w:t>3</w:t>
      </w: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湖南省产业技术基础公共服务平台</w:t>
      </w:r>
    </w:p>
    <w:p>
      <w:pPr>
        <w:spacing w:line="600" w:lineRule="exact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申报单位应当具备的具体条件</w:t>
      </w:r>
    </w:p>
    <w:tbl>
      <w:tblPr>
        <w:tblStyle w:val="4"/>
        <w:tblW w:w="9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3930"/>
        <w:gridCol w:w="3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tblHeader/>
          <w:jc w:val="center"/>
        </w:trPr>
        <w:tc>
          <w:tcPr>
            <w:tcW w:w="1958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项目</w:t>
            </w:r>
          </w:p>
        </w:tc>
        <w:tc>
          <w:tcPr>
            <w:tcW w:w="393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试验检测类</w:t>
            </w:r>
          </w:p>
        </w:tc>
        <w:tc>
          <w:tcPr>
            <w:tcW w:w="3971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/>
                <w:sz w:val="24"/>
              </w:rPr>
            </w:pPr>
            <w:r>
              <w:rPr>
                <w:rFonts w:ascii="Times New Roman" w:hAnsi="Times New Roman" w:eastAsia="仿宋"/>
                <w:b/>
                <w:sz w:val="24"/>
              </w:rPr>
              <w:t>信息服务类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958" w:type="dxa"/>
            <w:vMerge w:val="restart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（一）符合国家和我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省</w:t>
            </w:r>
            <w:r>
              <w:rPr>
                <w:rFonts w:ascii="Times New Roman" w:hAnsi="Times New Roman" w:eastAsia="仿宋"/>
                <w:sz w:val="24"/>
              </w:rPr>
              <w:t>有关法律、法规、规章和产业技术基础发展政策及相关规定。</w:t>
            </w:r>
          </w:p>
        </w:tc>
        <w:tc>
          <w:tcPr>
            <w:tcW w:w="7901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在我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省</w:t>
            </w:r>
            <w:r>
              <w:rPr>
                <w:rFonts w:ascii="Times New Roman" w:hAnsi="Times New Roman" w:eastAsia="仿宋"/>
                <w:sz w:val="24"/>
              </w:rPr>
              <w:t>境内依法设立的独立法人单位。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1958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901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遵守国家和我省有关法律、法规和规章，未发生由行政执法监督机关确认的违法、违规行为，没有信用不良记录。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58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901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无侵犯他人知识产权的行为。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958" w:type="dxa"/>
            <w:vMerge w:val="restart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（二）自觉接受或配合政府部门的工作。</w:t>
            </w:r>
          </w:p>
        </w:tc>
        <w:tc>
          <w:tcPr>
            <w:tcW w:w="7901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积极承担政府部门委托的有关任务。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58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901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按时上报服务平台能力建设和服务运营情况。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958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901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政府有关部门监督检查时，如实汇报有关情况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958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901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上报试验检测、信息服务发展报告。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958" w:type="dxa"/>
            <w:vMerge w:val="restart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（三）具有完善的运行机制。</w:t>
            </w:r>
          </w:p>
        </w:tc>
        <w:tc>
          <w:tcPr>
            <w:tcW w:w="7901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具备完善的管理制度。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958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901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具有规范的服务流程和服务质量保证措施。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958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901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账务状况及运营情况良好。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958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7901" w:type="dxa"/>
            <w:gridSpan w:val="2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具有明确的近期及长期发展目标。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  <w:jc w:val="center"/>
        </w:trPr>
        <w:tc>
          <w:tcPr>
            <w:tcW w:w="1958" w:type="dxa"/>
            <w:vMerge w:val="restart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（四）行业或省内公信度高、服务面广、具有示范带动作用。</w:t>
            </w:r>
          </w:p>
        </w:tc>
        <w:tc>
          <w:tcPr>
            <w:tcW w:w="3930" w:type="dxa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与行业或省内相关的机构（联盟、组织、商会、科研院所、企业和高校等）具有紧密合作关系。</w:t>
            </w:r>
          </w:p>
        </w:tc>
        <w:tc>
          <w:tcPr>
            <w:tcW w:w="3971" w:type="dxa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与行业或省内相关的机构（联盟、组织、商会、科研院所、企业和高校等）具有紧密合作关系。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  <w:jc w:val="center"/>
        </w:trPr>
        <w:tc>
          <w:tcPr>
            <w:tcW w:w="1958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930" w:type="dxa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具备对行业或省内相关资源的整合、推广、辐射及带动服务的能力。</w:t>
            </w:r>
          </w:p>
        </w:tc>
        <w:tc>
          <w:tcPr>
            <w:tcW w:w="3971" w:type="dxa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具备对行业或省内相关资源的整合、推广、辐射及带动服务的能力。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58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930" w:type="dxa"/>
            <w:vMerge w:val="restart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通过国家检验检测机构资质认定（CMA）或国家检测和校准实验室认可。</w:t>
            </w:r>
          </w:p>
        </w:tc>
        <w:tc>
          <w:tcPr>
            <w:tcW w:w="3971" w:type="dxa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每年能够为一定数量的企业提供行业信息、知识产权、制造业创新成果产业化服务。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1958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930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4"/>
              </w:rPr>
            </w:pPr>
          </w:p>
        </w:tc>
        <w:tc>
          <w:tcPr>
            <w:tcW w:w="3971" w:type="dxa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具有开展国际国内交流合作的良好条件和合作经历。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958" w:type="dxa"/>
            <w:vMerge w:val="restart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（五）拥有高水平的专业人员队伍。</w:t>
            </w:r>
          </w:p>
        </w:tc>
        <w:tc>
          <w:tcPr>
            <w:tcW w:w="3930" w:type="dxa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拥有高水平的技术带头人。</w:t>
            </w:r>
          </w:p>
        </w:tc>
        <w:tc>
          <w:tcPr>
            <w:tcW w:w="3971" w:type="dxa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拥有高水平的学术带头人。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958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930" w:type="dxa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从事相关服务的人数不少于20人。</w:t>
            </w:r>
          </w:p>
        </w:tc>
        <w:tc>
          <w:tcPr>
            <w:tcW w:w="3971" w:type="dxa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从事相关服务的人数不少于20人。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3" w:hRule="atLeast"/>
          <w:jc w:val="center"/>
        </w:trPr>
        <w:tc>
          <w:tcPr>
            <w:tcW w:w="1958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930" w:type="dxa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从事基础理论研究、应用技术研究、标准和方法研究、关键技术攻关等科研活动的专业人员中，硕士或中级职称及以上人员比例不低于20%。</w:t>
            </w:r>
          </w:p>
        </w:tc>
        <w:tc>
          <w:tcPr>
            <w:tcW w:w="3971" w:type="dxa"/>
            <w:vMerge w:val="restart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专业服务人员队伍，硕士或中级职称以上专业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人员的比例不低于20%。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958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930" w:type="dxa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color w:val="000000"/>
                <w:sz w:val="24"/>
              </w:rPr>
            </w:pPr>
            <w:r>
              <w:rPr>
                <w:rFonts w:ascii="Times New Roman" w:hAnsi="Times New Roman" w:eastAsia="仿宋"/>
                <w:color w:val="000000"/>
                <w:sz w:val="24"/>
              </w:rPr>
              <w:t>专业服务人员中，大专及以上学历人员的比例不低于60%。</w:t>
            </w:r>
          </w:p>
        </w:tc>
        <w:tc>
          <w:tcPr>
            <w:tcW w:w="3971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958" w:type="dxa"/>
            <w:vMerge w:val="restart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（六）具备提供试验验证、信息服务所必需的基础设施。</w:t>
            </w:r>
          </w:p>
        </w:tc>
        <w:tc>
          <w:tcPr>
            <w:tcW w:w="3930" w:type="dxa"/>
            <w:vMerge w:val="restart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拥有固定的试验验证、计量检测场地和经营服务场所。</w:t>
            </w:r>
          </w:p>
        </w:tc>
        <w:tc>
          <w:tcPr>
            <w:tcW w:w="3971" w:type="dxa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拥有固定的经营服务场所。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958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930" w:type="dxa"/>
            <w:vMerge w:val="restart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配备符合试验验证、计量检测所要求的抽样、测量、试验和分析设备（含软件）、计量标准器具。</w:t>
            </w:r>
          </w:p>
        </w:tc>
        <w:tc>
          <w:tcPr>
            <w:tcW w:w="3971" w:type="dxa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具有多源信息采集系统。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958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930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971" w:type="dxa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具有数据处理与整合工具。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958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930" w:type="dxa"/>
            <w:vMerge w:val="continue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971" w:type="dxa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具有数据分析与应用工具。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1958" w:type="dxa"/>
            <w:vMerge w:val="restart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（七）具有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省内较强</w:t>
            </w:r>
            <w:r>
              <w:rPr>
                <w:rFonts w:ascii="Times New Roman" w:hAnsi="Times New Roman" w:eastAsia="仿宋"/>
                <w:sz w:val="24"/>
              </w:rPr>
              <w:t>的服务能力。</w:t>
            </w:r>
          </w:p>
        </w:tc>
        <w:tc>
          <w:tcPr>
            <w:tcW w:w="3930" w:type="dxa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检测和校准项目已通过国家</w:t>
            </w:r>
            <w:r>
              <w:rPr>
                <w:rFonts w:ascii="Times New Roman" w:hAnsi="Times New Roman" w:eastAsia="仿宋"/>
                <w:color w:val="000000"/>
                <w:sz w:val="24"/>
              </w:rPr>
              <w:t>检验检测机构资质认定（CMA）或中国合格评定国家认可委员会（CNAS）</w:t>
            </w:r>
            <w:r>
              <w:rPr>
                <w:rFonts w:ascii="Times New Roman" w:hAnsi="Times New Roman" w:eastAsia="仿宋"/>
                <w:sz w:val="24"/>
              </w:rPr>
              <w:t>认可。</w:t>
            </w:r>
          </w:p>
        </w:tc>
        <w:tc>
          <w:tcPr>
            <w:tcW w:w="3971" w:type="dxa"/>
            <w:vMerge w:val="restart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近5年发布过行业（产业）相关研究报告，行业（产业）重点领域知识产权研究报告、创新成果产业化报告。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958" w:type="dxa"/>
            <w:vMerge w:val="continue"/>
            <w:noWrap/>
            <w:vAlign w:val="top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930" w:type="dxa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近5年有已申请和获得授权的国内外专利、集成电路布图设计专有权以及软件著作权等。</w:t>
            </w:r>
          </w:p>
        </w:tc>
        <w:tc>
          <w:tcPr>
            <w:tcW w:w="3971" w:type="dxa"/>
            <w:vMerge w:val="continue"/>
            <w:noWrap/>
            <w:vAlign w:val="top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1958" w:type="dxa"/>
            <w:vMerge w:val="continue"/>
            <w:noWrap/>
            <w:vAlign w:val="top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</w:p>
        </w:tc>
        <w:tc>
          <w:tcPr>
            <w:tcW w:w="3930" w:type="dxa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近5年为一定数量的企业提供试验验证等相关服务。</w:t>
            </w:r>
          </w:p>
        </w:tc>
        <w:tc>
          <w:tcPr>
            <w:tcW w:w="3971" w:type="dxa"/>
            <w:noWrap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</w:rPr>
            </w:pPr>
            <w:r>
              <w:rPr>
                <w:rFonts w:ascii="Times New Roman" w:hAnsi="Times New Roman" w:eastAsia="仿宋"/>
                <w:sz w:val="24"/>
              </w:rPr>
              <w:t>近5年承担过具有影响力的专利交易、质押等相关知识产权运用案件。</w:t>
            </w:r>
          </w:p>
        </w:tc>
      </w:tr>
    </w:tbl>
    <w:p>
      <w:pPr>
        <w:pStyle w:val="3"/>
        <w:spacing w:before="0" w:beforeAutospacing="0" w:after="0" w:afterAutospacing="0" w:line="330" w:lineRule="atLeast"/>
        <w:jc w:val="both"/>
        <w:rPr>
          <w:rFonts w:ascii="Times New Roman" w:hAnsi="Times New Roman" w:eastAsia="仿宋"/>
          <w:color w:val="070707"/>
          <w:sz w:val="21"/>
          <w:szCs w:val="21"/>
        </w:rPr>
        <w:sectPr>
          <w:footerReference r:id="rId3" w:type="default"/>
          <w:pgSz w:w="11906" w:h="16838"/>
          <w:pgMar w:top="2098" w:right="1247" w:bottom="1417" w:left="1587" w:header="851" w:footer="992" w:gutter="0"/>
          <w:pgNumType w:fmt="numberInDash"/>
          <w:cols w:space="720" w:num="1"/>
          <w:docGrid w:type="lines" w:linePitch="319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D1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2021-12-10T10:22:12Z</dcterms:created>
  <dc:creator>Administrator.SY-20171021LMAE</dc:creator>
  <cp:lastModifiedBy>信息中心</cp:lastModifiedBy>
  <dcterms:modified xsi:type="dcterms:W3CDTF">2021-12-10T10:23:06Z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ADC4EAFD0DA64BB591B8E9E2F5357525</vt:lpwstr>
  </property>
</Properties>
</file>