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sz w:val="40"/>
          <w:szCs w:val="40"/>
        </w:rPr>
        <w:t>《数字湖南规划（2011-2015年）》实施评估指标</w:t>
      </w:r>
    </w:p>
    <w:tbl>
      <w:tblPr>
        <w:tblStyle w:val="4"/>
        <w:tblW w:w="9145" w:type="dxa"/>
        <w:jc w:val="center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140"/>
        <w:gridCol w:w="1185"/>
        <w:gridCol w:w="66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指标类别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数据</w:t>
            </w: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信息基础设施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固定电话用户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固定电话普及率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移动电话用户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互联网宽带接入用户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互联网普及率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农村家庭宽带普及率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城市家庭宽带普及率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固定宽带互联网用户数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固定宽带光纤接入用户数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光缆线路长度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万公里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局用交换机容量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万门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移动电话交换机容量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互联网宽带接入端口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互联网国际出口带宽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Mbps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农村家庭宽带接入能力</w:t>
            </w:r>
          </w:p>
        </w:tc>
        <w:tc>
          <w:tcPr>
            <w:tcW w:w="1185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Mbps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城市家庭宽带接入能力</w:t>
            </w:r>
          </w:p>
        </w:tc>
        <w:tc>
          <w:tcPr>
            <w:tcW w:w="1185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Mbps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FTTH覆盖家庭数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4G基站数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企业建设wifi发射站数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政府建设wifi发射站数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WLAN接入点数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WLAN覆盖率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部/百人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4G用户数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通宽带行政村数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通宽带光纤行政村数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4M及以上宽带接入用户数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20M及以上宽带接入用户数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100M及以上宽带接入用户数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IPV4地址总数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IPv6地址总数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有线电视用户数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IPTV用户数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手机电视用户数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有线电视网双向网改率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信息产业发展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电信业务总量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电信业务收入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电信固定资产投资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省通管局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信息产业规模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电子信息制造业收入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电子信息制造业利税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软件和信息服务业收入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软件和信息服务业利税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移动电子商务规模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移动电子商务月平均交易额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百亿产业链条数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百亿产业集群数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百亿龙头企业数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信息技术成果和专利产业化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信息化和工业化融合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重点行业典型企业信息化专项规划普及率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重点行业典型企业OA普及率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重点行业典型企业CAD普及率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重点行业典型企业CIMS普及率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重点行业典型企业ERP普及率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重点行业典型企业MES普及率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重点行业典型企业PLM普及率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重点行业典型企业SCM普及率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重点行业典型企业采购环节电子商务应用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重点行业典型企业销售环节电子商务应用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重点行业典型企业装备数控化率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重点行业典型企业关键工序数控化率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农业农村信息化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农业农村信息化总体水平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农产品电子商务交易额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农村信息化服务站点数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农业信息管理和技术服务机构覆盖率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农业农村综合信息服务体系覆盖率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农业信息员、农村信息员数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电子标签管理的重要农产品实现率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“12316”湘农服务热线、农信通、供销通等信息系统用户数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涉农网站数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林业资源监管、营造林综合管理和灾害监控与应急等系统覆盖率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电子政务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政务部门主要业务信息化总覆盖率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省、市两级政务部门主要业务信息化覆盖率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县级政务部门主要业务信息化覆盖率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社会管理和政务服务事项电子政务覆盖率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政务部门主要业务信息共享率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电子政务网络互联互通率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省电子政务中心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民生和社会事业信息化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“大医保”覆盖率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省卫生厅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“新农保”覆盖率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省卫生厅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医疗保障卡覆盖率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省卫生厅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使用电子病例医院覆盖率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省卫生厅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实现住院补偿即时结报覆盖率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省卫生厅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数字文化信息资源总量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省文化厅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网上个人学习空间拥有率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现代远程教育学校覆盖率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校校通、班班通覆盖率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劳动就业公共信息服务覆盖率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社会保障卡持有人数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惠民一卡通用户数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国控重点污染源企业自动监控覆盖率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省环保厅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污染源普查系统覆盖污染源个数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省环保厅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交通电子监控个数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“两客一危”车辆及船舶GPS终端配备率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高速公路不停车收费（ETC）覆盖率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北斗卫星兼容车载终端试点安装量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省级“一张图”核心数据库已整合数据库量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省国土资源厅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电子商务交易额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网络零售交易额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省商务厅</w:t>
            </w:r>
          </w:p>
        </w:tc>
      </w:tr>
    </w:tbl>
    <w:p>
      <w:pPr>
        <w:spacing w:line="400" w:lineRule="exact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注：各部门可根据本部门信息化建设情况增加相关评价指标数据。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12</w:t>
    </w:r>
    <w:r>
      <w:rPr>
        <w:lang w:val="zh-CN"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16D4"/>
    <w:rsid w:val="3D8616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2016-02-19T07:31:00Z</dcterms:created>
  <dc:creator>Administrator</dc:creator>
  <cp:lastModifiedBy>Administrator</cp:lastModifiedBy>
  <dcterms:modified xsi:type="dcterms:W3CDTF">2016-02-19T07:32:19Z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