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widowControl w:val="true"/>
        <w:pBdr/>
        <w:spacing/>
        <w:ind/>
        <w:jc w:val="left"/>
        <w:rPr>
          <w:rFonts w:ascii="Times New Roman" w:hAnsi="Times New Roman" w:eastAsia="黑体"/>
          <w:sz w:val="32"/>
          <w:szCs w:val="32"/>
          <w:lang w:val="en"/>
        </w:rPr>
      </w:pPr>
      <w:r>
        <w:rPr>
          <w:rFonts w:ascii="Times New Roman" w:hAnsi="Times New Roman" w:eastAsia="黑体"/>
          <w:sz w:val="32"/>
          <w:szCs w:val="32"/>
          <w:lang w:val="en"/>
        </w:rPr>
        <w:t xml:space="preserve">附件</w:t>
      </w:r>
      <w:r>
        <w:rPr>
          <w:rFonts w:ascii="Times New Roman" w:hAnsi="Times New Roman" w:eastAsia="黑体"/>
          <w:sz w:val="32"/>
          <w:szCs w:val="32"/>
          <w:lang w:val="en"/>
        </w:rPr>
      </w:r>
    </w:p>
    <w:p>
      <w:pPr>
        <w:widowControl w:val="true"/>
        <w:pBdr/>
        <w:spacing/>
        <w:ind/>
        <w:jc w:val="center"/>
        <w:rPr>
          <w:rFonts w:ascii="Times New Roman" w:hAnsi="Times New Roman" w:eastAsia="方正小标宋简体"/>
          <w:sz w:val="40"/>
          <w:szCs w:val="40"/>
          <w:lang w:val="en"/>
        </w:rPr>
      </w:pPr>
      <w:r/>
      <w:bookmarkStart w:id="0" w:name="_GoBack"/>
      <w:r>
        <w:rPr>
          <w:rFonts w:ascii="Times New Roman" w:hAnsi="Times New Roman" w:eastAsia="方正小标宋简体"/>
          <w:sz w:val="40"/>
          <w:szCs w:val="40"/>
          <w:lang w:val="en"/>
        </w:rPr>
        <w:t xml:space="preserve">工业低碳氢应用场景</w:t>
      </w:r>
      <w:bookmarkEnd w:id="0"/>
      <w:r>
        <w:rPr>
          <w:rFonts w:ascii="Times New Roman" w:hAnsi="Times New Roman" w:eastAsia="方正小标宋简体"/>
          <w:sz w:val="40"/>
          <w:szCs w:val="40"/>
          <w:lang w:val="en"/>
        </w:rPr>
      </w:r>
    </w:p>
    <w:tbl>
      <w:tblPr>
        <w:tblStyle w:val="620"/>
        <w:tblW w:w="15024" w:type="dxa"/>
        <w:jc w:val="center"/>
        <w:tblBorders/>
        <w:tblLayout w:type="autofit"/>
        <w:tblCellMar>
          <w:left w:w="108" w:type="dxa"/>
          <w:top w:w="0" w:type="dxa"/>
          <w:right w:w="108" w:type="dxa"/>
          <w:bottom w:w="0" w:type="dxa"/>
        </w:tblCellMar>
        <w:tblLook w:val="04A0" w:firstRow="1" w:lastRow="0" w:firstColumn="1" w:lastColumn="0" w:noHBand="0" w:noVBand="1"/>
      </w:tblPr>
      <w:tblGrid>
        <w:gridCol w:w="652"/>
        <w:gridCol w:w="1475"/>
        <w:gridCol w:w="1440"/>
        <w:gridCol w:w="1877"/>
        <w:gridCol w:w="9580"/>
      </w:tblGrid>
      <w:tr>
        <w:trPr>
          <w:jc w:val="center"/>
          <w:trHeight w:val="908"/>
          <w:tblHeader/>
        </w:trPr>
        <w:tc>
          <w:tcPr>
            <w:tcBorders>
              <w:top w:val="single" w:color="000000" w:sz="4" w:space="0"/>
              <w:left w:val="single" w:color="000000" w:sz="4" w:space="0"/>
              <w:bottom w:val="non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黑体"/>
                <w:color w:val="000000"/>
                <w:sz w:val="28"/>
                <w:szCs w:val="28"/>
              </w:rPr>
            </w:pPr>
            <w:r>
              <w:rPr>
                <w:rFonts w:ascii="Times New Roman" w:hAnsi="Times New Roman" w:eastAsia="黑体"/>
                <w:color w:val="000000"/>
                <w:sz w:val="28"/>
                <w:szCs w:val="28"/>
                <w:lang w:bidi="ar"/>
              </w:rPr>
              <w:t xml:space="preserve">序号</w:t>
            </w:r>
            <w:r>
              <w:rPr>
                <w:rFonts w:ascii="Times New Roman" w:hAnsi="Times New Roman" w:eastAsia="黑体"/>
                <w:color w:val="000000"/>
                <w:sz w:val="28"/>
                <w:szCs w:val="28"/>
              </w:rPr>
            </w:r>
          </w:p>
        </w:tc>
        <w:tc>
          <w:tcPr>
            <w:tcBorders>
              <w:top w:val="single" w:color="000000" w:sz="4" w:space="0"/>
              <w:left w:val="single" w:color="000000" w:sz="4" w:space="0"/>
              <w:bottom w:val="none" w:color="000000" w:sz="4" w:space="0"/>
              <w:right w:val="single" w:color="000000" w:sz="4" w:space="0"/>
            </w:tcBorders>
            <w:tcW w:w="1475" w:type="dxa"/>
            <w:vAlign w:val="center"/>
            <w:textDirection w:val="lrTb"/>
            <w:noWrap w:val="false"/>
          </w:tcPr>
          <w:p>
            <w:pPr>
              <w:widowControl w:val="true"/>
              <w:pBdr/>
              <w:spacing w:line="360" w:lineRule="exact"/>
              <w:ind/>
              <w:jc w:val="center"/>
              <w:rPr>
                <w:rFonts w:ascii="Times New Roman" w:hAnsi="Times New Roman" w:eastAsia="黑体"/>
                <w:color w:val="000000"/>
                <w:sz w:val="28"/>
                <w:szCs w:val="28"/>
              </w:rPr>
            </w:pPr>
            <w:r>
              <w:rPr>
                <w:rFonts w:ascii="Times New Roman" w:hAnsi="Times New Roman" w:eastAsia="黑体"/>
                <w:color w:val="000000"/>
                <w:sz w:val="28"/>
                <w:szCs w:val="28"/>
                <w:lang w:bidi="ar"/>
              </w:rPr>
              <w:t xml:space="preserve">申报单位</w:t>
            </w:r>
            <w:r>
              <w:rPr>
                <w:rFonts w:ascii="Times New Roman" w:hAnsi="Times New Roman" w:eastAsia="黑体"/>
                <w:color w:val="000000"/>
                <w:sz w:val="28"/>
                <w:szCs w:val="28"/>
              </w:rPr>
            </w:r>
          </w:p>
        </w:tc>
        <w:tc>
          <w:tcPr>
            <w:tcBorders>
              <w:top w:val="single" w:color="000000" w:sz="4" w:space="0"/>
              <w:left w:val="single" w:color="000000" w:sz="4" w:space="0"/>
              <w:bottom w:val="none" w:color="000000" w:sz="4" w:space="0"/>
              <w:right w:val="single" w:color="000000" w:sz="4" w:space="0"/>
            </w:tcBorders>
            <w:tcW w:w="1440" w:type="dxa"/>
            <w:vAlign w:val="center"/>
            <w:textDirection w:val="lrTb"/>
            <w:noWrap w:val="false"/>
          </w:tcPr>
          <w:p>
            <w:pPr>
              <w:widowControl w:val="true"/>
              <w:pBdr/>
              <w:spacing w:line="360" w:lineRule="exact"/>
              <w:ind/>
              <w:jc w:val="center"/>
              <w:rPr>
                <w:rFonts w:ascii="Times New Roman" w:hAnsi="Times New Roman" w:eastAsia="黑体"/>
                <w:color w:val="000000"/>
                <w:sz w:val="28"/>
                <w:szCs w:val="28"/>
              </w:rPr>
            </w:pPr>
            <w:r>
              <w:rPr>
                <w:rFonts w:ascii="Times New Roman" w:hAnsi="Times New Roman" w:eastAsia="黑体"/>
                <w:color w:val="000000"/>
                <w:sz w:val="28"/>
                <w:szCs w:val="28"/>
                <w:lang w:bidi="ar"/>
              </w:rPr>
              <w:t xml:space="preserve">应用场景名称</w:t>
            </w:r>
            <w:r>
              <w:rPr>
                <w:rFonts w:ascii="Times New Roman" w:hAnsi="Times New Roman" w:eastAsia="黑体"/>
                <w:color w:val="000000"/>
                <w:sz w:val="28"/>
                <w:szCs w:val="28"/>
              </w:rPr>
            </w:r>
          </w:p>
        </w:tc>
        <w:tc>
          <w:tcPr>
            <w:tcBorders>
              <w:top w:val="single" w:color="000000" w:sz="4" w:space="0"/>
              <w:left w:val="single" w:color="000000" w:sz="4" w:space="0"/>
              <w:bottom w:val="non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黑体"/>
                <w:color w:val="000000"/>
                <w:sz w:val="28"/>
                <w:szCs w:val="28"/>
              </w:rPr>
            </w:pPr>
            <w:r>
              <w:rPr>
                <w:rFonts w:ascii="Times New Roman" w:hAnsi="Times New Roman" w:eastAsia="黑体"/>
                <w:color w:val="000000"/>
                <w:sz w:val="28"/>
                <w:szCs w:val="28"/>
                <w:lang w:bidi="ar"/>
              </w:rPr>
              <w:t xml:space="preserve">应用方向</w:t>
            </w:r>
            <w:r>
              <w:rPr>
                <w:rFonts w:ascii="Times New Roman" w:hAnsi="Times New Roman" w:eastAsia="黑体"/>
                <w:color w:val="000000"/>
                <w:sz w:val="28"/>
                <w:szCs w:val="28"/>
              </w:rPr>
            </w:r>
          </w:p>
        </w:tc>
        <w:tc>
          <w:tcPr>
            <w:tcBorders>
              <w:top w:val="single" w:color="000000" w:sz="4" w:space="0"/>
              <w:left w:val="single" w:color="000000" w:sz="4" w:space="0"/>
              <w:bottom w:val="none" w:color="000000" w:sz="4" w:space="0"/>
              <w:right w:val="single" w:color="000000" w:sz="4" w:space="0"/>
            </w:tcBorders>
            <w:tcW w:w="9580" w:type="dxa"/>
            <w:vAlign w:val="center"/>
            <w:textDirection w:val="lrTb"/>
            <w:noWrap w:val="false"/>
          </w:tcPr>
          <w:p>
            <w:pPr>
              <w:widowControl w:val="true"/>
              <w:pBdr/>
              <w:spacing w:line="360" w:lineRule="exact"/>
              <w:ind/>
              <w:jc w:val="center"/>
              <w:rPr>
                <w:rFonts w:ascii="Times New Roman" w:hAnsi="Times New Roman" w:eastAsia="黑体"/>
                <w:color w:val="000000"/>
                <w:sz w:val="28"/>
                <w:szCs w:val="28"/>
              </w:rPr>
            </w:pPr>
            <w:r>
              <w:rPr>
                <w:rFonts w:ascii="Times New Roman" w:hAnsi="Times New Roman" w:eastAsia="黑体"/>
                <w:color w:val="000000"/>
                <w:sz w:val="28"/>
                <w:szCs w:val="28"/>
                <w:lang w:bidi="ar"/>
              </w:rPr>
              <w:t xml:space="preserve">应用场景描述</w:t>
            </w:r>
            <w:r>
              <w:rPr>
                <w:rFonts w:ascii="Times New Roman" w:hAnsi="Times New Roman" w:eastAsia="黑体"/>
                <w:color w:val="000000"/>
                <w:sz w:val="28"/>
                <w:szCs w:val="28"/>
              </w:rPr>
            </w:r>
          </w:p>
        </w:tc>
      </w:tr>
      <w:tr>
        <w:trPr>
          <w:jc w:val="center"/>
          <w:trHeight w:val="90"/>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1</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湖南省实淳新能源有限公司</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氢能火焰切割</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清洁氢替代</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主要应用于钢铁厂连铸坯、钢结构制造、船舶修造、重型机械加工及冶金部件切割等工业场景。通过碱性电解槽一体式氢氧发生器（产氢≥10Nm³/h，波动跟随±10%/min）供给高纯氢氧混合气（H</w:t>
            </w:r>
            <w:r>
              <w:rPr>
                <w:rFonts w:ascii="Times New Roman" w:hAnsi="Times New Roman" w:eastAsia="仿宋"/>
                <w:color w:val="000000"/>
                <w:sz w:val="28"/>
                <w:szCs w:val="28"/>
                <w:vertAlign w:val="subscript"/>
                <w:lang w:bidi="ar"/>
              </w:rPr>
              <w:t xml:space="preserve">2</w:t>
            </w:r>
            <w:r>
              <w:rPr>
                <w:rFonts w:ascii="Times New Roman" w:hAnsi="Times New Roman" w:eastAsia="仿宋"/>
                <w:color w:val="000000"/>
                <w:sz w:val="28"/>
                <w:szCs w:val="28"/>
                <w:lang w:bidi="ar"/>
              </w:rPr>
              <w:t xml:space="preserve">:O</w:t>
            </w:r>
            <w:r>
              <w:rPr>
                <w:rFonts w:ascii="Times New Roman" w:hAnsi="Times New Roman" w:eastAsia="仿宋"/>
                <w:color w:val="000000"/>
                <w:sz w:val="28"/>
                <w:szCs w:val="28"/>
                <w:vertAlign w:val="subscript"/>
                <w:lang w:bidi="ar"/>
              </w:rPr>
              <w:t xml:space="preserve">2</w:t>
            </w:r>
            <w:r>
              <w:rPr>
                <w:rFonts w:ascii="Times New Roman" w:hAnsi="Times New Roman" w:eastAsia="仿宋"/>
                <w:color w:val="000000"/>
                <w:sz w:val="28"/>
                <w:szCs w:val="28"/>
                <w:lang w:bidi="ar"/>
              </w:rPr>
              <w:t xml:space="preserve">=2:1），驱动氢氧割炬实现清洁切割。</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1.钢铁行业连铸坯氢能火焰切割应用企业：津巴布韦钢铁厂、八一钢铁厂、伊犁钢铁厂、鞍山冶金集团工业有限公司等。</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2.钢结构制造冷板切割应用企业：湖南锦峰钢结构有限公司等。</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3.船舶行业应用企业：杨子江船业、沅江市龙飞造船有限公司等。</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4.重型机械加工应用企业：中联重科股份有限公司、太原重工股份有限公司等。</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5.冶金部件切割应用企业：南昌方大冶金建设有限公司等。</w:t>
            </w:r>
            <w:r>
              <w:rPr>
                <w:rFonts w:ascii="Times New Roman" w:hAnsi="Times New Roman" w:eastAsia="仿宋"/>
                <w:color w:val="000000"/>
                <w:sz w:val="28"/>
                <w:szCs w:val="28"/>
              </w:rPr>
            </w:r>
          </w:p>
        </w:tc>
      </w:tr>
      <w:tr>
        <w:trPr>
          <w:jc w:val="center"/>
          <w:trHeight w:val="2592"/>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2</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湖南省实淳新能源有限公司</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工业传统燃料锅炉加氢助燃</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清洁氢替代</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主要应用于工业燃煤锅炉、燃生物质锅炉、燃气锅炉及垃圾焚烧炉，通过引入清洁氢气进行掺氢助燃，可以达到如下效果：①气体催化剂，效果好；②清洁高效，不产生二次污染；③抑制二噁英生成；④空气加入方式，设备改造简单，安全、低成本、广泛适应性。</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目前已在光大环境垃圾焚烧发电厂、江西建发油脂厂、江西华明纳米材料有限公司、浏阳新发模压厂、常德吉鑫能源科技有限公司等企业应用。                                                                               </w:t>
            </w:r>
            <w:r>
              <w:rPr>
                <w:rFonts w:ascii="Times New Roman" w:hAnsi="Times New Roman" w:eastAsia="仿宋"/>
                <w:color w:val="000000"/>
                <w:sz w:val="28"/>
                <w:szCs w:val="28"/>
              </w:rPr>
            </w:r>
          </w:p>
        </w:tc>
      </w:tr>
      <w:tr>
        <w:trPr>
          <w:jc w:val="center"/>
          <w:trHeight w:val="2238"/>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3</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醴陵陶润实业发展有限公司</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基于绿电制氢的日用陶瓷低碳燃烧技术应用场景</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清洁氢替代</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采用“绿电电解水制布朗气+布朗气短时混合燃烧”技术路线，对燃烧系统进行改造，并实现智能控制与安全集成。经过阶段性试验和应用推广，布朗气（H</w:t>
            </w:r>
            <w:r>
              <w:rPr>
                <w:rFonts w:ascii="Times New Roman" w:hAnsi="Times New Roman" w:eastAsia="仿宋"/>
                <w:color w:val="000000"/>
                <w:sz w:val="28"/>
                <w:szCs w:val="28"/>
                <w:vertAlign w:val="subscript"/>
                <w:lang w:bidi="ar"/>
              </w:rPr>
              <w:t xml:space="preserve">2</w:t>
            </w:r>
            <w:r>
              <w:rPr>
                <w:rFonts w:ascii="Times New Roman" w:hAnsi="Times New Roman" w:eastAsia="仿宋"/>
                <w:color w:val="000000"/>
                <w:sz w:val="28"/>
                <w:szCs w:val="28"/>
                <w:lang w:bidi="ar"/>
              </w:rPr>
              <w:t xml:space="preserve">:O</w:t>
            </w:r>
            <w:r>
              <w:rPr>
                <w:rFonts w:ascii="Times New Roman" w:hAnsi="Times New Roman" w:eastAsia="仿宋"/>
                <w:color w:val="000000"/>
                <w:sz w:val="28"/>
                <w:szCs w:val="28"/>
                <w:vertAlign w:val="subscript"/>
                <w:lang w:bidi="ar"/>
              </w:rPr>
              <w:t xml:space="preserve">2</w:t>
            </w:r>
            <w:r>
              <w:rPr>
                <w:rFonts w:ascii="Times New Roman" w:hAnsi="Times New Roman" w:eastAsia="仿宋"/>
                <w:color w:val="000000"/>
                <w:sz w:val="28"/>
                <w:szCs w:val="28"/>
                <w:lang w:bidi="ar"/>
              </w:rPr>
              <w:t xml:space="preserve">=2:1）能替代技术有效降低CO</w:t>
            </w:r>
            <w:r>
              <w:rPr>
                <w:rFonts w:ascii="Times New Roman" w:hAnsi="Times New Roman" w:eastAsia="仿宋"/>
                <w:color w:val="000000"/>
                <w:sz w:val="28"/>
                <w:szCs w:val="28"/>
                <w:vertAlign w:val="subscript"/>
                <w:lang w:bidi="ar"/>
              </w:rPr>
              <w:t xml:space="preserve">2</w:t>
            </w:r>
            <w:r>
              <w:rPr>
                <w:rFonts w:ascii="Times New Roman" w:hAnsi="Times New Roman" w:eastAsia="仿宋"/>
                <w:color w:val="000000"/>
                <w:sz w:val="28"/>
                <w:szCs w:val="28"/>
                <w:lang w:bidi="ar"/>
              </w:rPr>
              <w:t xml:space="preserve">排放约20%，能源成本下降13%以上，同时布朗气还原氛围改善了产品的釉色表现。目前已在醴陵陶润实业发展有限公司的陶润绿色低碳陶瓷智能示范工厂应用。</w:t>
            </w:r>
            <w:r>
              <w:rPr>
                <w:rFonts w:ascii="Times New Roman" w:hAnsi="Times New Roman" w:eastAsia="仿宋"/>
                <w:color w:val="000000"/>
                <w:sz w:val="28"/>
                <w:szCs w:val="28"/>
              </w:rPr>
            </w:r>
          </w:p>
        </w:tc>
      </w:tr>
      <w:tr>
        <w:trPr>
          <w:jc w:val="center"/>
          <w:trHeight w:val="3512"/>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4</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淳华氢能源科技（湖南）有限公司</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PEM电解水制氢（绿氢生产特种陶瓷）</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清洁氢替代</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1.氢能窑炉燃料替代：PEM制取99.999%高纯绿氢，直供燃气梭式窑/辊道窑，实现1400℃高温烧结，替代液化天然气（LNG），消除工艺碳排放源。</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2.还原气氛烧结：利用氢气的强还原特性，在特种陶瓷（如氮化硅、氧化锆）烧结中替代传统氮氢混合气，避免氨分解制氢的碳排放。</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3.灵活调整供氢量：PEM制氢根据生产需求灵活调整供氢量，适配特种陶瓷不同工艺阶段，保障生产稳定高效进行。</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4.厂区综合供能：屋顶光伏耦合PEM电解，固态储氢或气态储氢保障连续生产；燃料电池余热回收用于干燥工序，形成“氢-电-热”闭环。</w:t>
            </w:r>
            <w:r>
              <w:rPr>
                <w:rFonts w:ascii="Times New Roman" w:hAnsi="Times New Roman" w:eastAsia="仿宋"/>
                <w:color w:val="000000"/>
                <w:sz w:val="28"/>
                <w:szCs w:val="28"/>
              </w:rPr>
            </w:r>
          </w:p>
        </w:tc>
      </w:tr>
      <w:tr>
        <w:trPr>
          <w:jc w:val="center"/>
          <w:trHeight w:val="5483"/>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5</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湖南润泽新能源科技有限公司</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炼钢连铸坯氢氧火焰切割</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清洁氢替代</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应用于钢铁生产高温工序的清洁燃料替代。</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1.连铸坯切割。（1）氢氧火焰（H</w:t>
            </w:r>
            <w:r>
              <w:rPr>
                <w:rFonts w:ascii="Times New Roman" w:hAnsi="Times New Roman" w:eastAsia="仿宋"/>
                <w:color w:val="000000"/>
                <w:sz w:val="28"/>
                <w:szCs w:val="28"/>
                <w:vertAlign w:val="subscript"/>
                <w:lang w:bidi="ar"/>
              </w:rPr>
              <w:t xml:space="preserve">2</w:t>
            </w:r>
            <w:r>
              <w:rPr>
                <w:rFonts w:ascii="Times New Roman" w:hAnsi="Times New Roman" w:eastAsia="仿宋"/>
                <w:color w:val="000000"/>
                <w:sz w:val="28"/>
                <w:szCs w:val="28"/>
                <w:lang w:bidi="ar"/>
              </w:rPr>
              <w:t xml:space="preserve">:O</w:t>
            </w:r>
            <w:r>
              <w:rPr>
                <w:rFonts w:ascii="Times New Roman" w:hAnsi="Times New Roman" w:eastAsia="仿宋"/>
                <w:color w:val="000000"/>
                <w:sz w:val="28"/>
                <w:szCs w:val="28"/>
                <w:vertAlign w:val="subscript"/>
                <w:lang w:bidi="ar"/>
              </w:rPr>
              <w:t xml:space="preserve">2</w:t>
            </w:r>
            <w:r>
              <w:rPr>
                <w:rFonts w:ascii="Times New Roman" w:hAnsi="Times New Roman" w:eastAsia="仿宋"/>
                <w:color w:val="000000"/>
                <w:sz w:val="28"/>
                <w:szCs w:val="28"/>
                <w:lang w:bidi="ar"/>
              </w:rPr>
              <w:t xml:space="preserve">=2:1）替代丙烷切割，切割面平整度提升±0.5mm，减少残氧导致的钢坯氧化层（残氧控制在0.5%）；（2）绿氢（低谷电）直供系统降低切割环节碳排放90%（较传统燃气）。</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2.钢水包/中间包烘烤。（1）氢氧焰流精准控温（1200℃±10℃），烘烤效率提升40%，能耗成本降50%；（2）消除烘烤过程CO</w:t>
            </w:r>
            <w:r>
              <w:rPr>
                <w:rFonts w:ascii="Times New Roman" w:hAnsi="Times New Roman" w:eastAsia="仿宋"/>
                <w:color w:val="000000"/>
                <w:sz w:val="28"/>
                <w:szCs w:val="28"/>
                <w:vertAlign w:val="subscript"/>
                <w:lang w:bidi="ar"/>
              </w:rPr>
              <w:t xml:space="preserve">2</w:t>
            </w:r>
            <w:r>
              <w:rPr>
                <w:rFonts w:ascii="Times New Roman" w:hAnsi="Times New Roman" w:eastAsia="仿宋"/>
                <w:color w:val="000000"/>
                <w:sz w:val="28"/>
                <w:szCs w:val="28"/>
                <w:lang w:bidi="ar"/>
              </w:rPr>
              <w:t xml:space="preserve">排放（年减碳5000吨-10000吨/产线）。</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3.铁水预处理与废钢预热。（1）铁包烘烤温度均匀性＞99%，减少铁水温降损失；（2）废钢氢氧预热至600℃-800℃，降低电炉冶炼能耗30%。</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4.轧钢与热处理。（1）加热炉氢氧燃烧NOx排放＜30mg/Nm³（优于天然气）；（2）淬火炉富氢气氛提升钢材表面硬度HRC±1。                   目前已在湖南华菱涟源钢铁有限公司炼钢分厂210转炉厂连铸坯氢氧火焰切割改造项目应用。</w:t>
            </w:r>
            <w:r>
              <w:rPr>
                <w:rFonts w:ascii="Times New Roman" w:hAnsi="Times New Roman" w:eastAsia="仿宋"/>
                <w:color w:val="000000"/>
                <w:sz w:val="28"/>
                <w:szCs w:val="28"/>
              </w:rPr>
            </w:r>
          </w:p>
        </w:tc>
      </w:tr>
      <w:tr>
        <w:trPr>
          <w:jc w:val="center"/>
          <w:trHeight w:val="3069"/>
        </w:trPr>
        <w:tc>
          <w:tcPr>
            <w:shd w:val="clear" w:color="auto" w:fill="auto"/>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6</w:t>
            </w:r>
            <w:r>
              <w:rPr>
                <w:rFonts w:ascii="Times New Roman" w:hAnsi="Times New Roman" w:eastAsia="仿宋"/>
                <w:color w:val="000000"/>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三一氢能有限公司/涟源钢铁集团</w:t>
            </w:r>
            <w:r>
              <w:rPr>
                <w:rFonts w:ascii="Times New Roman" w:hAnsi="Times New Roman" w:eastAsia="仿宋"/>
                <w:color w:val="000000"/>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氢基低碳冶金与保护技术</w:t>
            </w:r>
            <w:r>
              <w:rPr>
                <w:rFonts w:ascii="Times New Roman" w:hAnsi="Times New Roman" w:eastAsia="仿宋"/>
                <w:color w:val="000000"/>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氢冶金</w:t>
            </w:r>
            <w:r>
              <w:rPr>
                <w:rFonts w:ascii="Times New Roman" w:hAnsi="Times New Roman" w:eastAsia="仿宋"/>
                <w:color w:val="000000"/>
                <w:sz w:val="28"/>
                <w:szCs w:val="28"/>
              </w:rPr>
            </w:r>
          </w:p>
        </w:tc>
        <w:tc>
          <w:tcPr>
            <w:shd w:val="clear" w:color="auto" w:fill="ffffff"/>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由三一氢能与湖南涟钢联合实施，建设250标方/小时碱性电解水制氢系统，年产绿氢200万立方米，实现钢铁行业“以氢代碳”工艺突破。项目创新应用第三代制氢技术（直流电耗≤4.3kWh/Nm³），通过智能调控系统将绿氢规模化用于： ①镀锌保护气：替代氮氢混合气，提升锌层附着力； ②炼钢还原气：20%比例替代焦炉煤气，单吨钢减碳0.8吨。已稳定运行1500小时，设备可用率99.3%，年减排CO</w:t>
            </w:r>
            <w:r>
              <w:rPr>
                <w:rFonts w:ascii="Times New Roman" w:hAnsi="Times New Roman" w:eastAsia="仿宋"/>
                <w:color w:val="000000"/>
                <w:sz w:val="28"/>
                <w:szCs w:val="28"/>
                <w:vertAlign w:val="subscript"/>
                <w:lang w:bidi="ar"/>
              </w:rPr>
              <w:t xml:space="preserve">2</w:t>
            </w:r>
            <w:r>
              <w:rPr>
                <w:rFonts w:ascii="Times New Roman" w:hAnsi="Times New Roman" w:eastAsia="仿宋"/>
                <w:color w:val="000000"/>
                <w:sz w:val="28"/>
                <w:szCs w:val="28"/>
                <w:lang w:bidi="ar"/>
              </w:rPr>
              <w:t xml:space="preserve"> 1.2万吨。目前已在湖南华菱涟源钢铁有限公司冷轧高端家用板建设工程项目应用。                                      </w:t>
            </w:r>
            <w:r>
              <w:rPr>
                <w:rFonts w:ascii="Times New Roman" w:hAnsi="Times New Roman" w:eastAsia="仿宋"/>
                <w:color w:val="000000"/>
                <w:sz w:val="28"/>
                <w:szCs w:val="28"/>
              </w:rPr>
            </w:r>
          </w:p>
        </w:tc>
      </w:tr>
      <w:tr>
        <w:trPr>
          <w:jc w:val="center"/>
          <w:trHeight w:val="4260"/>
        </w:trPr>
        <w:tc>
          <w:tcPr>
            <w:shd w:val="clear" w:color="auto" w:fill="auto"/>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7</w:t>
            </w:r>
            <w:r>
              <w:rPr>
                <w:rFonts w:ascii="Times New Roman" w:hAnsi="Times New Roman" w:eastAsia="仿宋"/>
                <w:color w:val="000000"/>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湖南安淳高新技术有限公司</w:t>
            </w:r>
            <w:r>
              <w:rPr>
                <w:rFonts w:ascii="Times New Roman" w:hAnsi="Times New Roman" w:eastAsia="仿宋"/>
                <w:color w:val="000000"/>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柔性变负荷（多稳态）绿氨技术研发及成套装置中试应用</w:t>
            </w:r>
            <w:r>
              <w:rPr>
                <w:rFonts w:ascii="Times New Roman" w:hAnsi="Times New Roman" w:eastAsia="仿宋"/>
                <w:color w:val="000000"/>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氢氮耦合</w:t>
            </w:r>
            <w:r>
              <w:rPr>
                <w:rFonts w:ascii="Times New Roman" w:hAnsi="Times New Roman" w:eastAsia="仿宋"/>
                <w:color w:val="000000"/>
                <w:sz w:val="28"/>
                <w:szCs w:val="28"/>
              </w:rPr>
            </w:r>
          </w:p>
        </w:tc>
        <w:tc>
          <w:tcPr>
            <w:shd w:val="clear" w:color="auto" w:fill="ffffff"/>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1.化肥生产：为农业提供低碳氮肥（如尿素、硝酸铵），减少传统煤/天然气制氨的高碳足迹，助力绿色农业转型，如在西北可再生能源富集区配套建设绿色氨肥基地。</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2.清洁燃料：作为航运、重型机械的零碳燃料或燃料添加剂，如氨燃料电池船舶可直接以液氨为燃料，降低航运业70%以上碳排放，已在北欧试点应用。</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3.储能与调峰：将风电、光伏等不稳定绿电转化为液态氨存储运输，解决新能源消纳难题。</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4.化工原料：用于构建低碳化工产业链，如合成氨制氢可替代传统甲醇重整工艺，降低化工园区碳排放量。                                       目前已在湖南华菱涟源钢铁有限公司冷轧高端家用板建设工程项目应用。</w:t>
            </w:r>
            <w:r>
              <w:rPr>
                <w:rFonts w:ascii="Times New Roman" w:hAnsi="Times New Roman" w:eastAsia="仿宋"/>
                <w:color w:val="000000"/>
                <w:sz w:val="28"/>
                <w:szCs w:val="28"/>
              </w:rPr>
            </w:r>
          </w:p>
        </w:tc>
      </w:tr>
      <w:tr>
        <w:trPr>
          <w:jc w:val="center"/>
          <w:trHeight w:val="4260"/>
        </w:trPr>
        <w:tc>
          <w:tcPr>
            <w:shd w:val="clear" w:color="auto" w:fill="auto"/>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8</w:t>
            </w:r>
            <w:r>
              <w:rPr>
                <w:rFonts w:ascii="Times New Roman" w:hAnsi="Times New Roman" w:eastAsia="仿宋"/>
                <w:color w:val="000000"/>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中车株洲电力机车有限公司</w:t>
            </w:r>
            <w:r>
              <w:rPr>
                <w:rFonts w:ascii="Times New Roman" w:hAnsi="Times New Roman" w:eastAsia="仿宋"/>
                <w:color w:val="000000"/>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基于氢能源动力的大功率混合动力调车机车（轨道交通车辆）</w:t>
            </w:r>
            <w:r>
              <w:rPr>
                <w:rFonts w:ascii="Times New Roman" w:hAnsi="Times New Roman" w:eastAsia="仿宋"/>
                <w:color w:val="000000"/>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交通装备</w:t>
            </w:r>
            <w:r>
              <w:rPr>
                <w:rFonts w:ascii="Times New Roman" w:hAnsi="Times New Roman" w:eastAsia="仿宋"/>
                <w:color w:val="000000"/>
                <w:sz w:val="28"/>
                <w:szCs w:val="28"/>
              </w:rPr>
            </w:r>
          </w:p>
        </w:tc>
        <w:tc>
          <w:tcPr>
            <w:shd w:val="clear" w:color="auto" w:fill="ffffff"/>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1.大型铁路编组站/货场：氢能机车适应-40℃极寒环境，满足频繁启停、重载牵引需求，承担列车解编、转线、取送车作业。</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2.港口与大型工矿企业：在码头、钢厂、电厂、矿山等内部铁路专用线进行大量调车作业。氢燃料加注相对灵活，适应复杂布局。</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3.枢纽站及大型物流基地：长续航能力减少加注次数，提升作业效率，安静运行降低噪音污染。                                                 中车株洲电力机车有限公司与国家能源集团联合研制的我国首台大功率氢能源动力调车机车2024年4月在新朔铁路巴准线四道柳站首次完成万吨装车试验。机车以“氢燃料电池 锂电动力电池”为动力，设计时速100公里，最大功率可达2400千瓦，最大起动牵引力560千牛，平直道可牵引载重10000吨，4‰坡道可牵引载重5000吨。</w:t>
            </w:r>
            <w:r>
              <w:rPr>
                <w:rFonts w:ascii="Times New Roman" w:hAnsi="Times New Roman" w:eastAsia="仿宋"/>
                <w:color w:val="000000"/>
                <w:sz w:val="28"/>
                <w:szCs w:val="28"/>
              </w:rPr>
            </w:r>
          </w:p>
        </w:tc>
      </w:tr>
      <w:tr>
        <w:trPr>
          <w:jc w:val="center"/>
          <w:trHeight w:val="2842"/>
        </w:trPr>
        <w:tc>
          <w:tcPr>
            <w:shd w:val="clear" w:color="auto" w:fill="auto"/>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9</w:t>
            </w:r>
            <w:r>
              <w:rPr>
                <w:rFonts w:ascii="Times New Roman" w:hAnsi="Times New Roman" w:eastAsia="仿宋"/>
                <w:color w:val="000000"/>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三一氢能有限公司/长沙经开区管委会</w:t>
            </w:r>
            <w:r>
              <w:rPr>
                <w:rFonts w:ascii="Times New Roman" w:hAnsi="Times New Roman" w:eastAsia="仿宋"/>
                <w:color w:val="000000"/>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绿电制氢加氢一体站及氢交通示范项目</w:t>
            </w:r>
            <w:r>
              <w:rPr>
                <w:rFonts w:ascii="Times New Roman" w:hAnsi="Times New Roman" w:eastAsia="仿宋"/>
                <w:color w:val="000000"/>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交通装备</w:t>
            </w:r>
            <w:r>
              <w:rPr>
                <w:rFonts w:ascii="Times New Roman" w:hAnsi="Times New Roman" w:eastAsia="仿宋"/>
                <w:color w:val="000000"/>
                <w:sz w:val="28"/>
                <w:szCs w:val="28"/>
              </w:rPr>
            </w:r>
          </w:p>
        </w:tc>
        <w:tc>
          <w:tcPr>
            <w:shd w:val="clear" w:color="auto" w:fill="ffffff"/>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由三一氢能主导建设并运营2000kg/天级制氢加氢一体站，采用光伏绿电耦合谷电的电解水制氢技术，配套1060kg储氢系统实现24小时供氢。项目创新应用2000标方/小时电解槽（国内首台工程化）、大排量压缩机及站内智慧调控技术，制氢成本降至28元/kg以下。</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示范场景覆盖氢能渣土车、重卡、物流车等交通领域，年供低碳氢超40吨，服务车辆400余台，验证“制-储-加-用”闭环模式。通过车-站-槽协同示范，推动氢能装备产业化。</w:t>
            </w:r>
            <w:r>
              <w:rPr>
                <w:rFonts w:ascii="Times New Roman" w:hAnsi="Times New Roman" w:eastAsia="仿宋"/>
                <w:color w:val="000000"/>
                <w:sz w:val="28"/>
                <w:szCs w:val="28"/>
              </w:rPr>
            </w:r>
          </w:p>
        </w:tc>
      </w:tr>
      <w:tr>
        <w:trPr>
          <w:jc w:val="center"/>
          <w:trHeight w:val="3732"/>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10</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湖南国磁动力科技有限公司</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基于液氢冷却技术的电动重型卡车永磁电机系统研发与应用</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交通装备</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液氢冷却技术借助液氢的低温特性，显著增强电动重型卡车永磁电机的散热效率与功率密度，提升整车动力性能与能源利用效率。主要应用场景包括：</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1.液氢运输：液氢作为冷却介质和燃料，实现氢燃料电池及冷却部件的复合应用，提升液氢运输系统的集成度与效率。</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2.长途高速重型卡车物流：液氢冷却技术可延长电动重型卡车的续航里程，降低充电频率，从而提高运输效率，降低运营成本。</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3.矿山开采：在高温、崎岖的矿山环境中，能够提高车辆的动力性能和散热效率，保障电动重型卡车的稳定运行。</w:t>
            </w:r>
            <w:r>
              <w:rPr>
                <w:rFonts w:ascii="Times New Roman" w:hAnsi="Times New Roman" w:eastAsia="仿宋"/>
                <w:color w:val="000000"/>
                <w:sz w:val="28"/>
                <w:szCs w:val="28"/>
              </w:rPr>
            </w:r>
          </w:p>
        </w:tc>
      </w:tr>
      <w:tr>
        <w:trPr>
          <w:jc w:val="center"/>
          <w:trHeight w:val="3653"/>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11</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国家先进轨道交通装备创新中心</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面向低碳交通运输的移动式氢能“制-储-加”一体化系统</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交通装备</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以撬装制氢、低压固态储氢为核心，适配多场景用氢需求。 </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1.试验加氢：支持燃料电池等实验室及生产线的小规模、高频次用氢需求。</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2.轨道交通运行供氢：为调车机车等轨道车辆提供移动制储加一体化供氢，满足固定线路及场站作业的低碳动力补给。</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3.社会车辆加氢：覆盖公交、物流车等社会车辆，在无基础设施区域实现快速加注，支撑城市交通零碳转型。</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4.航空绿色燃料补给：为氢燃料发动机、无人机等提供高纯度氢源，推动低空交通脱碳。                                  </w:t>
            </w:r>
            <w:r>
              <w:rPr>
                <w:rFonts w:ascii="Times New Roman" w:hAnsi="Times New Roman" w:eastAsia="仿宋"/>
                <w:color w:val="000000"/>
                <w:sz w:val="28"/>
                <w:szCs w:val="28"/>
              </w:rPr>
            </w:r>
          </w:p>
        </w:tc>
      </w:tr>
      <w:tr>
        <w:trPr>
          <w:jc w:val="center"/>
          <w:trHeight w:val="3685"/>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2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12</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2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北汽福田汽车股份有限公司长沙超级卡车工厂</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2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北汽福田长沙超级卡车工厂氢燃料电池货车加氢及检测设备设施</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2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交通装备</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2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构建“绿氢制造-精准加注-零碳认证”全链路，覆盖三大工业场景：</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1.35MPa加氢站集群。（1）三级贮氢加氢一体站（储氢768kg）集成液驱式压缩机撬组。氢气压缩为气态氢气，纯度满足≥99.999%，符合GB/T 3634.2-2011 《氢气 第2部分：纯氢、高纯氢和超纯氢》高纯氢要求；（2）日处理500kg氢气，具备每天40辆氢燃料汽车加注需求，整车下线3分钟完成加氢。</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2.高精度智能制造检测。（1）采用氢气集束车，专用输送线（载重12t，定位误差±2mm）；（2）5套安规/静态/动态检测设备（精度±0.03%rdg±0.01%f.s）。</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3.零碳工厂认证体系。（1）北汽福田长沙超级卡车工厂目前已荣获国家级绿色供应链管理示范企业、国家级绿色工厂、湖南省绿色工厂，持续推进碳减排，下一步建设成零碳工厂。分布式光伏发电总面积8.1万㎡，单台车生产碳足迹＜0.8t CO</w:t>
            </w:r>
            <w:r>
              <w:rPr>
                <w:rFonts w:ascii="Times New Roman" w:hAnsi="Times New Roman" w:eastAsia="仿宋"/>
                <w:color w:val="000000"/>
                <w:sz w:val="28"/>
                <w:szCs w:val="28"/>
                <w:vertAlign w:val="subscript"/>
                <w:lang w:bidi="ar"/>
              </w:rPr>
              <w:t xml:space="preserve">2</w:t>
            </w:r>
            <w:r>
              <w:rPr>
                <w:rFonts w:ascii="Times New Roman" w:hAnsi="Times New Roman" w:eastAsia="仿宋"/>
                <w:color w:val="000000"/>
                <w:sz w:val="28"/>
                <w:szCs w:val="28"/>
                <w:lang w:bidi="ar"/>
              </w:rPr>
              <w:t xml:space="preserve">e；（2）全链路数字化碳平台实时对接监测系统，追溯储氢-加注-检测全流程。</w:t>
            </w:r>
            <w:r>
              <w:rPr>
                <w:rFonts w:ascii="Times New Roman" w:hAnsi="Times New Roman" w:eastAsia="仿宋"/>
                <w:color w:val="000000"/>
                <w:sz w:val="28"/>
                <w:szCs w:val="28"/>
              </w:rPr>
            </w:r>
          </w:p>
        </w:tc>
      </w:tr>
      <w:tr>
        <w:trPr>
          <w:jc w:val="center"/>
          <w:trHeight w:val="3458"/>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4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13</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4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长沙普罗科环境装备有限责任公司</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4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大功率氢燃料电池市政环境清扫车辆</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4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交通装备</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4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聚焦市政环境清扫领域，针对城市道路清洗、垃圾收运等作业需求，开发并应用 BJ5182TXSFCEV1 氢燃料洗扫车、BJ5182</w:t>
            </w:r>
            <w:r>
              <w:rPr>
                <w:rFonts w:ascii="Times New Roman" w:hAnsi="Times New Roman" w:eastAsia="仿宋"/>
                <w:color w:val="000000"/>
                <w:sz w:val="28"/>
                <w:szCs w:val="28"/>
                <w:lang w:bidi="ar"/>
              </w:rPr>
              <w:t xml:space="preserve">ZYSFCEV1 氢燃料压缩车两款产品。洗扫车具备9种作业功能，覆盖道路清洗、清扫、降尘等场景；压缩车采用高强度钢及升级液压系统，支持多种垃圾收运方式，均适用于城市主干道、广场、居民区等复杂环境。两款车辆均采用氢燃料电池动力系统，替代传统燃油/锂电池环卫车，实现零尾气排放。氢燃料电池环卫车实现了分钟级燃料补给，解决了纯电动环卫车低温性能差、充电耗时长导致的作业中断问题。大功率氢燃料电池环卫车凭借其零排放特性、工业级作业能力和持续改善的经济性，正成为市政环卫领域替代传统燃油车和突破纯电动车应用瓶颈的重要选择。</w:t>
            </w:r>
            <w:r>
              <w:rPr>
                <w:rFonts w:ascii="Times New Roman" w:hAnsi="Times New Roman" w:eastAsia="仿宋"/>
                <w:color w:val="000000"/>
                <w:sz w:val="28"/>
                <w:szCs w:val="28"/>
              </w:rPr>
            </w:r>
          </w:p>
        </w:tc>
      </w:tr>
      <w:tr>
        <w:trPr>
          <w:jc w:val="center"/>
          <w:trHeight w:val="3935"/>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4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14</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4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湖南省实淳新能源有限公司</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4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公交车、卡车和轨道交通等以电驱动的交通工具领域</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4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交通装备</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4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针对城市公交、长途重卡（40吨级）、氢能机车及港口轨道工程车四大工业交通场景，搭载250kW复合石墨双极板电堆（超薄0.1mm双极板+自增湿膜电极），为重型电动交通提供零排放、长寿命、高耐受性的工业级动力解决方案，加速交通制造业深度脱碳。</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1.高效低碳：系统净效率≥52%，氢耗≤7.5kg/100km（40吨载重），全周期碳减排＞90%。</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2.极端工况适配：-30℃无辅助冷启动，＞80,000小时寿命（启停＞10,000次），满足工业车辆高强度运营。</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3.智能可靠：多变量控制器（SOH诊断＞95%）协同70MPa IV型储氢瓶（8×210L，碳纤维监测）与两级无油空压机（压比＞3.0）。</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4.能源复用：分区液冷+余热回收装置（＞65%回收率）降低综合能耗。</w:t>
            </w:r>
            <w:r>
              <w:rPr>
                <w:rFonts w:ascii="Times New Roman" w:hAnsi="Times New Roman" w:eastAsia="仿宋"/>
                <w:color w:val="000000"/>
                <w:sz w:val="28"/>
                <w:szCs w:val="28"/>
              </w:rPr>
            </w:r>
          </w:p>
        </w:tc>
      </w:tr>
      <w:tr>
        <w:trPr>
          <w:jc w:val="center"/>
          <w:trHeight w:val="3426"/>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15</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湖南振邦氢能科技有限公司</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大功率金属双极板燃料电池城市客车</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交通装备</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联合吉利商用车集团打造8.5米氢燃料电池公交车，构建“安全高效、智能低碳、全链协同”氢能交通体系。通过6项氢系统高压保护等安全设计，获ISO 26262 ASIL-D认证，适应-30℃至高温湿热环境，车身减重15%，氢耗降20%。AI与5G实现动态能量管理，能效提升12%，全生命周期数字化管控让预测性维护准确率达92%。工业副产氢利用与油氢合建站，降低用氢成本35%。“里程租赁+氢费分离”模式减轻公交公司负担，助力交通脱碳。                             </w:t>
            </w:r>
            <w:r>
              <w:rPr>
                <w:rFonts w:ascii="Times New Roman" w:hAnsi="Times New Roman" w:eastAsia="仿宋"/>
                <w:color w:val="000000"/>
                <w:sz w:val="28"/>
                <w:szCs w:val="28"/>
              </w:rPr>
            </w:r>
          </w:p>
        </w:tc>
      </w:tr>
      <w:tr>
        <w:trPr>
          <w:jc w:val="center"/>
          <w:trHeight w:val="4867"/>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16</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国网湖南省电力有限公司电力科学研究院 / 国网株洲供电公司    /湖南振邦氢能科技有限公司</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绿色氢电耦合交直流微电网示范应用</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绿色微电网</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集成变电站、光伏站、数据中心站、氢电耦合储能站及电动汽车充电站，构建“一交一直”微网群，实现“绿电制氢-储氢-氢能发电-多能协同”全链条零碳运行。</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1.抗波动PEM制氢应用场景：电解槽直接接入光伏波动电源，效率提升，制氢成本降低。</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2.长时间尺度氢储能应用场景：660L储氢罐支撑24小时供电，填补锂电池短时储能空白。</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3.基于氢电耦合的多站融合和多能互补应用场景：集成变电站、数据中心站、氢电耦合储能站、光伏站、充电站的“五站融合” 智慧能源站，通过空间集约化设计和功能协同，实现“电力供应-算力支撑-氢能存储-交通充电”一体化服务。                                                                              </w:t>
            </w:r>
            <w:r>
              <w:rPr>
                <w:rFonts w:ascii="Times New Roman" w:hAnsi="Times New Roman" w:eastAsia="仿宋"/>
                <w:color w:val="000000"/>
                <w:sz w:val="28"/>
                <w:szCs w:val="28"/>
              </w:rPr>
            </w:r>
          </w:p>
        </w:tc>
      </w:tr>
      <w:tr>
        <w:trPr>
          <w:jc w:val="center"/>
          <w:trHeight w:val="4568"/>
        </w:trPr>
        <w:tc>
          <w:tcPr>
            <w:tcBorders>
              <w:top w:val="single" w:color="000000" w:sz="4" w:space="0"/>
              <w:left w:val="single" w:color="000000" w:sz="4" w:space="0"/>
              <w:bottom w:val="single" w:color="000000" w:sz="4" w:space="0"/>
              <w:right w:val="single" w:color="000000" w:sz="4" w:space="0"/>
            </w:tcBorders>
            <w:tcW w:w="652"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17</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75"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氢能时代（湖南）科技有限公司</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基于AI智能的分布式光伏制氢（固态储氢）热电气联供系统</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1877" w:type="dxa"/>
            <w:vAlign w:val="center"/>
            <w:textDirection w:val="lrTb"/>
            <w:noWrap w:val="false"/>
          </w:tcPr>
          <w:p>
            <w:pPr>
              <w:widowControl w:val="true"/>
              <w:pBdr/>
              <w:spacing w:line="360" w:lineRule="exact"/>
              <w:ind/>
              <w:jc w:val="center"/>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绿色微电网</w:t>
            </w:r>
            <w:r>
              <w:rPr>
                <w:rFonts w:ascii="Times New Roman" w:hAnsi="Times New Roman" w:eastAsia="仿宋"/>
                <w:color w:val="000000"/>
                <w:sz w:val="28"/>
                <w:szCs w:val="28"/>
              </w:rPr>
            </w:r>
          </w:p>
        </w:tc>
        <w:tc>
          <w:tcPr>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widowControl w:val="true"/>
              <w:pBdr/>
              <w:spacing w:line="360" w:lineRule="exact"/>
              <w:ind/>
              <w:jc w:val="left"/>
              <w:rPr>
                <w:rFonts w:ascii="Times New Roman" w:hAnsi="Times New Roman" w:eastAsia="仿宋"/>
                <w:color w:val="000000"/>
                <w:sz w:val="28"/>
                <w:szCs w:val="28"/>
              </w:rPr>
            </w:pPr>
            <w:r>
              <w:rPr>
                <w:rFonts w:ascii="Times New Roman" w:hAnsi="Times New Roman" w:eastAsia="仿宋"/>
                <w:color w:val="000000"/>
                <w:sz w:val="28"/>
                <w:szCs w:val="28"/>
                <w:lang w:bidi="ar"/>
              </w:rPr>
              <w:t xml:space="preserve">面向工业领域提供零碳综合能源解决方案，通过AI智能调度（风光预测+多能耦合）提升能效30%以上，加速工业脱碳进程，重点覆盖三大场景：</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1.工业园区：集成厂房屋顶光伏，通过AI优化电解制氢（PEM/SOEC），固态储氢保障连续供能。氢能用于燃料电池发电、叉车燃料；余热驱动蒸汽/采暖，实现园区热电气自给。</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2.高耗能工厂：为化工、金属加工等企业提供绿氢原料（如还原剂），同步供应生产用电与高温工艺热，替代化石能源。</w:t>
            </w:r>
            <w:r>
              <w:rPr>
                <w:rFonts w:ascii="Times New Roman" w:hAnsi="Times New Roman" w:eastAsia="仿宋"/>
                <w:color w:val="000000"/>
                <w:sz w:val="28"/>
                <w:szCs w:val="28"/>
                <w:lang w:bidi="ar"/>
              </w:rPr>
              <w:br/>
            </w:r>
            <w:r>
              <w:rPr>
                <w:rFonts w:ascii="Times New Roman" w:hAnsi="Times New Roman" w:eastAsia="仿宋"/>
                <w:color w:val="000000"/>
                <w:sz w:val="28"/>
                <w:szCs w:val="28"/>
                <w:lang w:bidi="ar"/>
              </w:rPr>
              <w:t xml:space="preserve">3.离网工业设施：矿区、海岛等偏远厂区利用本地光伏制氢，固态储氢模块化部署，AI动态调度热电气负荷，解决能源接入难题。                                                                                                                                       </w:t>
            </w:r>
            <w:r>
              <w:rPr>
                <w:rFonts w:ascii="Times New Roman" w:hAnsi="Times New Roman" w:eastAsia="仿宋"/>
                <w:color w:val="000000"/>
                <w:sz w:val="28"/>
                <w:szCs w:val="28"/>
              </w:rPr>
            </w:r>
          </w:p>
        </w:tc>
      </w:tr>
    </w:tbl>
    <w:p>
      <w:pPr>
        <w:widowControl w:val="true"/>
        <w:pBdr/>
        <w:spacing/>
        <w:ind/>
        <w:jc w:val="left"/>
        <w:rPr>
          <w:rFonts w:hint="eastAsia" w:ascii="仿宋" w:hAnsi="仿宋" w:eastAsia="仿宋" w:cs="仿宋"/>
          <w:sz w:val="32"/>
          <w:szCs w:val="32"/>
          <w:lang w:val="en"/>
        </w:rPr>
      </w:pPr>
      <w:r>
        <w:rPr>
          <w:rFonts w:hint="eastAsia" w:ascii="仿宋" w:hAnsi="仿宋" w:eastAsia="仿宋" w:cs="仿宋"/>
          <w:sz w:val="32"/>
          <w:szCs w:val="32"/>
          <w:lang w:val="en"/>
        </w:rPr>
      </w:r>
      <w:r>
        <w:rPr>
          <w:rFonts w:hint="eastAsia" w:ascii="仿宋" w:hAnsi="仿宋" w:eastAsia="仿宋" w:cs="仿宋"/>
          <w:sz w:val="32"/>
          <w:szCs w:val="32"/>
          <w:lang w:val="en"/>
        </w:rPr>
      </w:r>
    </w:p>
    <w:p>
      <w:pPr>
        <w:pBdr/>
        <w:spacing/>
        <w:ind/>
        <w:rPr>
          <w:rFonts w:hint="eastAsia" w:ascii="仿宋" w:hAnsi="仿宋" w:eastAsia="仿宋" w:cs="仿宋"/>
        </w:rPr>
      </w:pPr>
      <w:r>
        <w:rPr>
          <w:rFonts w:hint="eastAsia" w:ascii="仿宋" w:hAnsi="仿宋" w:eastAsia="仿宋" w:cs="仿宋"/>
        </w:rPr>
      </w:r>
      <w:r>
        <w:rPr>
          <w:rFonts w:hint="eastAsia" w:ascii="仿宋" w:hAnsi="仿宋" w:eastAsia="仿宋" w:cs="仿宋"/>
        </w:rPr>
      </w:r>
    </w:p>
    <w:p>
      <w:pPr>
        <w:pBdr/>
        <w:spacing/>
        <w:ind/>
        <w:rPr/>
      </w:pPr>
      <w:r/>
      <w:r/>
    </w:p>
    <w:p>
      <w:pPr>
        <w:pBdr/>
        <w:spacing/>
        <w:ind/>
        <w:rPr/>
      </w:pPr>
      <w:r/>
      <w:r/>
    </w:p>
    <w:sectPr>
      <w:footnotePr/>
      <w:endnotePr/>
      <w:type w:val="nextPage"/>
      <w:pgSz w:h="11906" w:orient="portrait" w:w="16838"/>
      <w:pgMar w:top="2098" w:right="1247" w:bottom="1417" w:left="1587" w:header="851" w:footer="992"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方正小标宋简体">
    <w:panose1 w:val="03000509000000000000"/>
  </w:font>
  <w:font w:name="黑体">
    <w:panose1 w:val="02010609060101010101"/>
  </w:font>
  <w:font w:name="宋体">
    <w:panose1 w:val="02010600030101010101"/>
  </w:font>
  <w:font w:name="Times New Roman">
    <w:panose1 w:val="02020603050405020304"/>
  </w:font>
  <w:font w:name="Arial">
    <w:panose1 w:val="020B0604020202020204"/>
  </w:font>
  <w:font w:name="Calibri">
    <w:panose1 w:val="020F0502020204030204"/>
  </w:font>
  <w:font w:name="等线">
    <w:panose1 w:val="02010600030101010101"/>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8"/>
    <w:next w:val="61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19"/>
    <w:link w:val="13"/>
    <w:uiPriority w:val="9"/>
    <w:pPr>
      <w:pBdr/>
      <w:spacing/>
      <w:ind/>
    </w:pPr>
    <w:rPr>
      <w:rFonts w:ascii="等线" w:hAnsi="等线" w:eastAsia="等线" w:cs="等线"/>
      <w:sz w:val="40"/>
      <w:szCs w:val="40"/>
    </w:rPr>
  </w:style>
  <w:style w:type="paragraph" w:styleId="15">
    <w:name w:val="Heading 2"/>
    <w:basedOn w:val="618"/>
    <w:next w:val="61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19"/>
    <w:link w:val="15"/>
    <w:uiPriority w:val="9"/>
    <w:pPr>
      <w:pBdr/>
      <w:spacing/>
      <w:ind/>
    </w:pPr>
    <w:rPr>
      <w:rFonts w:ascii="等线" w:hAnsi="等线" w:eastAsia="等线" w:cs="等线"/>
      <w:sz w:val="34"/>
    </w:rPr>
  </w:style>
  <w:style w:type="paragraph" w:styleId="17">
    <w:name w:val="Heading 3"/>
    <w:basedOn w:val="618"/>
    <w:next w:val="61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19"/>
    <w:link w:val="17"/>
    <w:uiPriority w:val="9"/>
    <w:pPr>
      <w:pBdr/>
      <w:spacing/>
      <w:ind/>
    </w:pPr>
    <w:rPr>
      <w:rFonts w:ascii="等线" w:hAnsi="等线" w:eastAsia="等线" w:cs="等线"/>
      <w:sz w:val="30"/>
      <w:szCs w:val="30"/>
    </w:rPr>
  </w:style>
  <w:style w:type="paragraph" w:styleId="19">
    <w:name w:val="Heading 4"/>
    <w:basedOn w:val="618"/>
    <w:next w:val="61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19"/>
    <w:link w:val="19"/>
    <w:uiPriority w:val="9"/>
    <w:pPr>
      <w:pBdr/>
      <w:spacing/>
      <w:ind/>
    </w:pPr>
    <w:rPr>
      <w:rFonts w:ascii="等线" w:hAnsi="等线" w:eastAsia="等线" w:cs="等线"/>
      <w:b/>
      <w:bCs/>
      <w:sz w:val="26"/>
      <w:szCs w:val="26"/>
    </w:rPr>
  </w:style>
  <w:style w:type="paragraph" w:styleId="21">
    <w:name w:val="Heading 5"/>
    <w:basedOn w:val="618"/>
    <w:next w:val="61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19"/>
    <w:link w:val="21"/>
    <w:uiPriority w:val="9"/>
    <w:pPr>
      <w:pBdr/>
      <w:spacing/>
      <w:ind/>
    </w:pPr>
    <w:rPr>
      <w:rFonts w:ascii="等线" w:hAnsi="等线" w:eastAsia="等线" w:cs="等线"/>
      <w:b/>
      <w:bCs/>
      <w:sz w:val="24"/>
      <w:szCs w:val="24"/>
    </w:rPr>
  </w:style>
  <w:style w:type="paragraph" w:styleId="23">
    <w:name w:val="Heading 6"/>
    <w:basedOn w:val="618"/>
    <w:next w:val="61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19"/>
    <w:link w:val="23"/>
    <w:uiPriority w:val="9"/>
    <w:pPr>
      <w:pBdr/>
      <w:spacing/>
      <w:ind/>
    </w:pPr>
    <w:rPr>
      <w:rFonts w:ascii="等线" w:hAnsi="等线" w:eastAsia="等线" w:cs="等线"/>
      <w:b/>
      <w:bCs/>
      <w:sz w:val="22"/>
      <w:szCs w:val="22"/>
    </w:rPr>
  </w:style>
  <w:style w:type="paragraph" w:styleId="25">
    <w:name w:val="Heading 7"/>
    <w:basedOn w:val="618"/>
    <w:next w:val="61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19"/>
    <w:link w:val="25"/>
    <w:uiPriority w:val="9"/>
    <w:pPr>
      <w:pBdr/>
      <w:spacing/>
      <w:ind/>
    </w:pPr>
    <w:rPr>
      <w:rFonts w:ascii="等线" w:hAnsi="等线" w:eastAsia="等线" w:cs="等线"/>
      <w:b/>
      <w:bCs/>
      <w:i/>
      <w:iCs/>
      <w:sz w:val="22"/>
      <w:szCs w:val="22"/>
    </w:rPr>
  </w:style>
  <w:style w:type="paragraph" w:styleId="27">
    <w:name w:val="Heading 8"/>
    <w:basedOn w:val="618"/>
    <w:next w:val="61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19"/>
    <w:link w:val="27"/>
    <w:uiPriority w:val="9"/>
    <w:pPr>
      <w:pBdr/>
      <w:spacing/>
      <w:ind/>
    </w:pPr>
    <w:rPr>
      <w:rFonts w:ascii="等线" w:hAnsi="等线" w:eastAsia="等线" w:cs="等线"/>
      <w:i/>
      <w:iCs/>
      <w:sz w:val="22"/>
      <w:szCs w:val="22"/>
    </w:rPr>
  </w:style>
  <w:style w:type="paragraph" w:styleId="29">
    <w:name w:val="Heading 9"/>
    <w:basedOn w:val="618"/>
    <w:next w:val="61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19"/>
    <w:link w:val="29"/>
    <w:uiPriority w:val="9"/>
    <w:pPr>
      <w:pBdr/>
      <w:spacing/>
      <w:ind/>
    </w:pPr>
    <w:rPr>
      <w:rFonts w:ascii="等线" w:hAnsi="等线" w:eastAsia="等线" w:cs="等线"/>
      <w:i/>
      <w:iCs/>
      <w:sz w:val="21"/>
      <w:szCs w:val="21"/>
    </w:rPr>
  </w:style>
  <w:style w:type="paragraph" w:styleId="31">
    <w:name w:val="List Paragraph"/>
    <w:basedOn w:val="618"/>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8"/>
    <w:next w:val="618"/>
    <w:link w:val="35"/>
    <w:uiPriority w:val="10"/>
    <w:qFormat/>
    <w:pPr>
      <w:pBdr/>
      <w:spacing w:after="200" w:before="300"/>
      <w:ind/>
      <w:contextualSpacing w:val="true"/>
    </w:pPr>
    <w:rPr>
      <w:sz w:val="48"/>
      <w:szCs w:val="48"/>
    </w:rPr>
  </w:style>
  <w:style w:type="character" w:styleId="35">
    <w:name w:val="Title Char"/>
    <w:basedOn w:val="619"/>
    <w:link w:val="34"/>
    <w:uiPriority w:val="10"/>
    <w:pPr>
      <w:pBdr/>
      <w:spacing/>
      <w:ind/>
    </w:pPr>
    <w:rPr>
      <w:sz w:val="48"/>
      <w:szCs w:val="48"/>
    </w:rPr>
  </w:style>
  <w:style w:type="paragraph" w:styleId="36">
    <w:name w:val="Subtitle"/>
    <w:basedOn w:val="618"/>
    <w:next w:val="618"/>
    <w:link w:val="37"/>
    <w:uiPriority w:val="11"/>
    <w:qFormat/>
    <w:pPr>
      <w:pBdr/>
      <w:spacing w:after="200" w:before="200"/>
      <w:ind/>
    </w:pPr>
    <w:rPr>
      <w:sz w:val="24"/>
      <w:szCs w:val="24"/>
    </w:rPr>
  </w:style>
  <w:style w:type="character" w:styleId="37">
    <w:name w:val="Subtitle Char"/>
    <w:basedOn w:val="619"/>
    <w:link w:val="36"/>
    <w:uiPriority w:val="11"/>
    <w:pPr>
      <w:pBdr/>
      <w:spacing/>
      <w:ind/>
    </w:pPr>
    <w:rPr>
      <w:sz w:val="24"/>
      <w:szCs w:val="24"/>
    </w:rPr>
  </w:style>
  <w:style w:type="paragraph" w:styleId="38">
    <w:name w:val="Quote"/>
    <w:basedOn w:val="618"/>
    <w:next w:val="61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8"/>
    <w:next w:val="61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8"/>
    <w:link w:val="43"/>
    <w:uiPriority w:val="99"/>
    <w:unhideWhenUsed/>
    <w:pPr>
      <w:pBdr/>
      <w:tabs>
        <w:tab w:val="center" w:leader="none" w:pos="7143"/>
        <w:tab w:val="right" w:leader="none" w:pos="14287"/>
      </w:tabs>
      <w:spacing w:after="0" w:line="240" w:lineRule="auto"/>
      <w:ind/>
    </w:pPr>
  </w:style>
  <w:style w:type="character" w:styleId="43">
    <w:name w:val="Header Char"/>
    <w:basedOn w:val="619"/>
    <w:link w:val="42"/>
    <w:uiPriority w:val="99"/>
    <w:pPr>
      <w:pBdr/>
      <w:spacing/>
      <w:ind/>
    </w:pPr>
  </w:style>
  <w:style w:type="character" w:styleId="45">
    <w:name w:val="Footer Char"/>
    <w:basedOn w:val="619"/>
    <w:link w:val="621"/>
    <w:uiPriority w:val="99"/>
    <w:pPr>
      <w:pBdr/>
      <w:spacing/>
      <w:ind/>
    </w:pPr>
  </w:style>
  <w:style w:type="paragraph" w:styleId="46">
    <w:name w:val="Caption"/>
    <w:basedOn w:val="618"/>
    <w:next w:val="618"/>
    <w:uiPriority w:val="35"/>
    <w:semiHidden/>
    <w:unhideWhenUsed/>
    <w:qFormat/>
    <w:pPr>
      <w:pBdr/>
      <w:spacing w:line="276" w:lineRule="auto"/>
      <w:ind/>
    </w:pPr>
    <w:rPr>
      <w:b/>
      <w:bCs/>
      <w:color w:val="4f81bd" w:themeColor="accent1"/>
      <w:sz w:val="18"/>
      <w:szCs w:val="18"/>
    </w:rPr>
  </w:style>
  <w:style w:type="character" w:styleId="47">
    <w:name w:val="Caption Char"/>
    <w:basedOn w:val="46"/>
    <w:link w:val="621"/>
    <w:uiPriority w:val="99"/>
    <w:pPr>
      <w:pBdr/>
      <w:spacing/>
      <w:ind/>
    </w:pPr>
  </w:style>
  <w:style w:type="table" w:styleId="48">
    <w:name w:val="Table Grid"/>
    <w:basedOn w:val="62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681c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f3b802"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3f4" w:themeFill="accent1" w:themeFillTint="34"/>
    </w:tblPr>
    <w:tcPr>
      <w:tcBorders/>
    </w:tcPr>
    <w:tblStylePr w:type="band1Horz">
      <w:pPr>
        <w:pBdr/>
        <w:spacing/>
        <w:ind/>
      </w:pPr>
      <w:tblPr>
        <w:tblBorders/>
      </w:tblPr>
      <w:tcPr>
        <w:shd w:val="clear" w:color="ffffff" w:themeColor="accent1" w:themeTint="75" w:fill="aac0e7" w:themeFill="accent1" w:themeFillTint="75"/>
        <w:tcBorders/>
      </w:tcPr>
    </w:tblStylePr>
    <w:tblStylePr w:type="band1Vert">
      <w:pPr>
        <w:pBdr/>
        <w:spacing/>
        <w:ind/>
      </w:pPr>
      <w:tblPr>
        <w:tblBorders/>
      </w:tblPr>
      <w:tcPr>
        <w:shd w:val="clear" w:color="ffffff" w:themeColor="accent1" w:themeTint="75" w:fill="aac0e7"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874cb" w:themeFill="accent1"/>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rFonts w:ascii="Arial" w:hAnsi="Arial"/>
        <w:b/>
        <w:color w:val="ffffff"/>
        <w:sz w:val="22"/>
      </w:rPr>
      <w:pPr>
        <w:pBdr/>
        <w:spacing/>
        <w:ind/>
      </w:pPr>
      <w:tblPr>
        <w:tblBorders/>
      </w:tblPr>
      <w:tcPr>
        <w:shd w:val="clear" w:color="ffffff" w:themeColor="accent1" w:fill="4874cb" w:themeFill="accent1"/>
        <w:tcBorders/>
      </w:tcPr>
    </w:tblStylePr>
    <w:tblStylePr w:type="lastRow">
      <w:rPr>
        <w:rFonts w:ascii="Arial" w:hAnsi="Arial"/>
        <w:b/>
        <w:color w:val="ffffff"/>
        <w:sz w:val="22"/>
      </w:rPr>
      <w:pPr>
        <w:pBdr/>
        <w:spacing/>
        <w:ind/>
      </w:pPr>
      <w:tblPr>
        <w:tblBorders/>
      </w:tblPr>
      <w:tcPr>
        <w:shd w:val="clear" w:color="ffffff" w:themeColor="accent1" w:fill="4874cb"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6" w:themeFill="accent2" w:themeFillTint="32"/>
    </w:tblPr>
    <w:tcPr>
      <w:tcBorders/>
    </w:tcPr>
    <w:tblStylePr w:type="band1Horz">
      <w:pPr>
        <w:pBdr/>
        <w:spacing/>
        <w:ind/>
      </w:pPr>
      <w:tblPr>
        <w:tblBorders/>
      </w:tblPr>
      <w:tcPr>
        <w:shd w:val="clear" w:color="ffffff" w:themeColor="accent2" w:themeTint="75" w:fill="f7c49e" w:themeFill="accent2" w:themeFillTint="75"/>
        <w:tcBorders/>
      </w:tcPr>
    </w:tblStylePr>
    <w:tblStylePr w:type="band1Vert">
      <w:pPr>
        <w:pBdr/>
        <w:spacing/>
        <w:ind/>
      </w:pPr>
      <w:tblPr>
        <w:tblBorders/>
      </w:tblPr>
      <w:tcPr>
        <w:shd w:val="clear" w:color="ffffff" w:themeColor="accent2" w:themeTint="75" w:fill="f7c49e"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e822f" w:themeFill="accent2"/>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rFonts w:ascii="Arial" w:hAnsi="Arial"/>
        <w:b/>
        <w:color w:val="ffffff"/>
        <w:sz w:val="22"/>
      </w:rPr>
      <w:pPr>
        <w:pBdr/>
        <w:spacing/>
        <w:ind/>
      </w:pPr>
      <w:tblPr>
        <w:tblBorders/>
      </w:tblPr>
      <w:tcPr>
        <w:shd w:val="clear" w:color="ffffff" w:themeColor="accent2" w:fill="ee822f" w:themeFill="accent2"/>
        <w:tcBorders/>
      </w:tcPr>
    </w:tblStylePr>
    <w:tblStylePr w:type="lastRow">
      <w:rPr>
        <w:rFonts w:ascii="Arial" w:hAnsi="Arial"/>
        <w:b/>
        <w:color w:val="ffffff"/>
        <w:sz w:val="22"/>
      </w:rPr>
      <w:pPr>
        <w:pBdr/>
        <w:spacing/>
        <w:ind/>
      </w:pPr>
      <w:tblPr>
        <w:tblBorders/>
      </w:tblPr>
      <w:tcPr>
        <w:shd w:val="clear" w:color="ffffff" w:themeColor="accent2" w:fill="ee822f"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ef1c9" w:themeFill="accent3" w:themeFillTint="34"/>
    </w:tblPr>
    <w:tcPr>
      <w:tcBorders/>
    </w:tcPr>
    <w:tblStylePr w:type="band1Horz">
      <w:pPr>
        <w:pBdr/>
        <w:spacing/>
        <w:ind/>
      </w:pPr>
      <w:tblPr>
        <w:tblBorders/>
      </w:tblPr>
      <w:tcPr>
        <w:shd w:val="clear" w:color="ffffff" w:themeColor="accent3" w:themeTint="75" w:fill="fde086" w:themeFill="accent3" w:themeFillTint="75"/>
        <w:tcBorders/>
      </w:tcPr>
    </w:tblStylePr>
    <w:tblStylePr w:type="band1Vert">
      <w:pPr>
        <w:pBdr/>
        <w:spacing/>
        <w:ind/>
      </w:pPr>
      <w:tblPr>
        <w:tblBorders/>
      </w:tblPr>
      <w:tcPr>
        <w:shd w:val="clear" w:color="ffffff" w:themeColor="accent3" w:themeTint="75" w:fill="fde08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f2ba02" w:themeFill="accent3"/>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rFonts w:ascii="Arial" w:hAnsi="Arial"/>
        <w:b/>
        <w:color w:val="ffffff"/>
        <w:sz w:val="22"/>
      </w:rPr>
      <w:pPr>
        <w:pBdr/>
        <w:spacing/>
        <w:ind/>
      </w:pPr>
      <w:tblPr>
        <w:tblBorders/>
      </w:tblPr>
      <w:tcPr>
        <w:shd w:val="clear" w:color="ffffff" w:themeColor="accent3" w:fill="f2ba02" w:themeFill="accent3"/>
        <w:tcBorders/>
      </w:tcPr>
    </w:tblStylePr>
    <w:tblStylePr w:type="lastRow">
      <w:rPr>
        <w:rFonts w:ascii="Arial" w:hAnsi="Arial"/>
        <w:b/>
        <w:color w:val="ffffff"/>
        <w:sz w:val="22"/>
      </w:rPr>
      <w:pPr>
        <w:pBdr/>
        <w:spacing/>
        <w:ind/>
      </w:pPr>
      <w:tblPr>
        <w:tblBorders/>
      </w:tblPr>
      <w:tcPr>
        <w:shd w:val="clear" w:color="ffffff" w:themeColor="accent3" w:fill="f2ba02"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3f1d8" w:themeFill="accent4" w:themeFillTint="34"/>
    </w:tblPr>
    <w:tcPr>
      <w:tcBorders/>
    </w:tcPr>
    <w:tblStylePr w:type="band1Horz">
      <w:pPr>
        <w:pBdr/>
        <w:spacing/>
        <w:ind/>
      </w:pPr>
      <w:tblPr>
        <w:tblBorders/>
      </w:tblPr>
      <w:tcPr>
        <w:shd w:val="clear" w:color="ffffff" w:themeColor="accent4" w:themeTint="75" w:fill="bfe0a7" w:themeFill="accent4" w:themeFillTint="75"/>
        <w:tcBorders/>
      </w:tcPr>
    </w:tblStylePr>
    <w:tblStylePr w:type="band1Vert">
      <w:pPr>
        <w:pBdr/>
        <w:spacing/>
        <w:ind/>
      </w:pPr>
      <w:tblPr>
        <w:tblBorders/>
      </w:tblPr>
      <w:tcPr>
        <w:shd w:val="clear" w:color="ffffff" w:themeColor="accent4" w:themeTint="75" w:fill="bfe0a7"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75bd42" w:themeFill="accent4"/>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rFonts w:ascii="Arial" w:hAnsi="Arial"/>
        <w:b/>
        <w:color w:val="ffffff"/>
        <w:sz w:val="22"/>
      </w:rPr>
      <w:pPr>
        <w:pBdr/>
        <w:spacing/>
        <w:ind/>
      </w:pPr>
      <w:tblPr>
        <w:tblBorders/>
      </w:tblPr>
      <w:tcPr>
        <w:shd w:val="clear" w:color="ffffff" w:themeColor="accent4" w:fill="75bd42" w:themeFill="accent4"/>
        <w:tcBorders/>
      </w:tcPr>
    </w:tblStylePr>
    <w:tblStylePr w:type="lastRow">
      <w:rPr>
        <w:rFonts w:ascii="Arial" w:hAnsi="Arial"/>
        <w:b/>
        <w:color w:val="ffffff"/>
        <w:sz w:val="22"/>
      </w:rPr>
      <w:pPr>
        <w:pBdr/>
        <w:spacing/>
        <w:ind/>
      </w:pPr>
      <w:tblPr>
        <w:tblBorders/>
      </w:tblPr>
      <w:tcPr>
        <w:shd w:val="clear" w:color="ffffff" w:themeColor="accent4" w:fill="75bd4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2f3f0" w:themeFill="accent5" w:themeFillTint="34"/>
    </w:tblPr>
    <w:tcPr>
      <w:tcBorders/>
    </w:tcPr>
    <w:tblStylePr w:type="band1Horz">
      <w:pPr>
        <w:pBdr/>
        <w:spacing/>
        <w:ind/>
      </w:pPr>
      <w:tblPr>
        <w:tblBorders/>
      </w:tblPr>
      <w:tcPr>
        <w:shd w:val="clear" w:color="ffffff" w:themeColor="accent5" w:themeTint="75" w:fill="9be6de" w:themeFill="accent5" w:themeFillTint="75"/>
        <w:tcBorders/>
      </w:tcPr>
    </w:tblStylePr>
    <w:tblStylePr w:type="band1Vert">
      <w:pPr>
        <w:pBdr/>
        <w:spacing/>
        <w:ind/>
      </w:pPr>
      <w:tblPr>
        <w:tblBorders/>
      </w:tblPr>
      <w:tcPr>
        <w:shd w:val="clear" w:color="ffffff" w:themeColor="accent5" w:themeTint="75" w:fill="9be6de"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30c0b4" w:themeFill="accent5"/>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rFonts w:ascii="Arial" w:hAnsi="Arial"/>
        <w:b/>
        <w:color w:val="ffffff"/>
        <w:sz w:val="22"/>
      </w:rPr>
      <w:pPr>
        <w:pBdr/>
        <w:spacing/>
        <w:ind/>
      </w:pPr>
      <w:tblPr>
        <w:tblBorders/>
      </w:tblPr>
      <w:tcPr>
        <w:shd w:val="clear" w:color="ffffff" w:themeColor="accent5" w:fill="30c0b4" w:themeFill="accent5"/>
        <w:tcBorders/>
      </w:tcPr>
    </w:tblStylePr>
    <w:tblStylePr w:type="lastRow">
      <w:rPr>
        <w:rFonts w:ascii="Arial" w:hAnsi="Arial"/>
        <w:b/>
        <w:color w:val="ffffff"/>
        <w:sz w:val="22"/>
      </w:rPr>
      <w:pPr>
        <w:pBdr/>
        <w:spacing/>
        <w:ind/>
      </w:pPr>
      <w:tblPr>
        <w:tblBorders/>
      </w:tblPr>
      <w:tcPr>
        <w:shd w:val="clear" w:color="ffffff" w:themeColor="accent5" w:fill="30c0b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9dade" w:themeFill="accent6" w:themeFillTint="34"/>
    </w:tblPr>
    <w:tcPr>
      <w:tcBorders/>
    </w:tcPr>
    <w:tblStylePr w:type="band1Horz">
      <w:pPr>
        <w:pBdr/>
        <w:spacing/>
        <w:ind/>
      </w:pPr>
      <w:tblPr>
        <w:tblBorders/>
      </w:tblPr>
      <w:tcPr>
        <w:shd w:val="clear" w:color="ffffff" w:themeColor="accent6" w:themeTint="75" w:fill="f3acb5" w:themeFill="accent6" w:themeFillTint="75"/>
        <w:tcBorders/>
      </w:tcPr>
    </w:tblStylePr>
    <w:tblStylePr w:type="band1Vert">
      <w:pPr>
        <w:pBdr/>
        <w:spacing/>
        <w:ind/>
      </w:pPr>
      <w:tblPr>
        <w:tblBorders/>
      </w:tblPr>
      <w:tcPr>
        <w:shd w:val="clear" w:color="ffffff" w:themeColor="accent6" w:themeTint="75" w:fill="f3acb5"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e54c5e" w:themeFill="accent6"/>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rFonts w:ascii="Arial" w:hAnsi="Arial"/>
        <w:b/>
        <w:color w:val="ffffff"/>
        <w:sz w:val="22"/>
      </w:rPr>
      <w:pPr>
        <w:pBdr/>
        <w:spacing/>
        <w:ind/>
      </w:pPr>
      <w:tblPr>
        <w:tblBorders/>
      </w:tblPr>
      <w:tcPr>
        <w:shd w:val="clear" w:color="ffffff" w:themeColor="accent6" w:fill="e54c5e" w:themeFill="accent6"/>
        <w:tcBorders/>
      </w:tcPr>
    </w:tblStylePr>
    <w:tblStylePr w:type="lastRow">
      <w:rPr>
        <w:rFonts w:ascii="Arial" w:hAnsi="Arial"/>
        <w:b/>
        <w:color w:val="ffffff"/>
        <w:sz w:val="22"/>
      </w:rPr>
      <w:pPr>
        <w:pBdr/>
        <w:spacing/>
        <w:ind/>
      </w:pPr>
      <w:tblPr>
        <w:tblBorders/>
      </w:tblPr>
      <w:tcPr>
        <w:shd w:val="clear" w:color="ffffff" w:themeColor="accent6" w:fill="e54c5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62b0" w:themeColor="accent1" w:themeTint="80" w:themeShade="95"/>
      </w:rPr>
      <w:pPr>
        <w:pBdr/>
        <w:spacing/>
        <w:ind/>
      </w:pPr>
      <w:tblPr>
        <w:tblBorders/>
      </w:tblPr>
      <w:tcPr>
        <w:tcBorders/>
      </w:tcPr>
    </w:tblStylePr>
    <w:tblStylePr w:type="firstRow">
      <w:rPr>
        <w:b/>
        <w:color w:val="3362b0" w:themeColor="accent1" w:themeTint="80" w:themeShade="95"/>
      </w:rPr>
      <w:pPr>
        <w:pBdr/>
        <w:spacing/>
        <w:ind/>
      </w:pPr>
      <w:tblPr>
        <w:tblBorders/>
      </w:tblPr>
      <w:tcPr>
        <w:tcBorders>
          <w:bottom w:val="single" w:color="000000" w:themeColor="accent1" w:themeTint="80" w:sz="12" w:space="0"/>
        </w:tcBorders>
      </w:tcPr>
    </w:tblStylePr>
    <w:tblStylePr w:type="lastCol">
      <w:rPr>
        <w:b/>
        <w:color w:val="3362b0" w:themeColor="accent1" w:themeTint="80" w:themeShade="95"/>
      </w:rPr>
      <w:pPr>
        <w:pBdr/>
        <w:spacing/>
        <w:ind/>
      </w:pPr>
      <w:tblPr>
        <w:tblBorders/>
      </w:tblPr>
      <w:tcPr>
        <w:tcBorders/>
      </w:tcPr>
    </w:tblStylePr>
    <w:tblStylePr w:type="lastRow">
      <w:rPr>
        <w:b/>
        <w:color w:val="3362b0"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12"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c6a01" w:themeColor="accent3" w:themeTint="FE" w:themeShade="95"/>
      </w:rPr>
      <w:pPr>
        <w:pBdr/>
        <w:spacing/>
        <w:ind/>
      </w:pPr>
      <w:tblPr>
        <w:tblBorders/>
      </w:tblPr>
      <w:tcPr>
        <w:tcBorders/>
      </w:tcPr>
    </w:tblStylePr>
    <w:tblStylePr w:type="firstRow">
      <w:rPr>
        <w:b/>
        <w:color w:val="8c6a01" w:themeColor="accent3" w:themeTint="FE" w:themeShade="95"/>
      </w:rPr>
      <w:pPr>
        <w:pBdr/>
        <w:spacing/>
        <w:ind/>
      </w:pPr>
      <w:tblPr>
        <w:tblBorders/>
      </w:tblPr>
      <w:tcPr>
        <w:tcBorders>
          <w:bottom w:val="single" w:color="000000" w:themeColor="accent3" w:themeTint="FE" w:sz="12" w:space="0"/>
        </w:tcBorders>
      </w:tcPr>
    </w:tblStylePr>
    <w:tblStylePr w:type="lastCol">
      <w:rPr>
        <w:b/>
        <w:color w:val="8c6a01" w:themeColor="accent3" w:themeTint="FE" w:themeShade="95"/>
      </w:rPr>
      <w:pPr>
        <w:pBdr/>
        <w:spacing/>
        <w:ind/>
      </w:pPr>
      <w:tblPr>
        <w:tblBorders/>
      </w:tblPr>
      <w:tcPr>
        <w:tcBorders/>
      </w:tcPr>
    </w:tblStylePr>
    <w:tblStylePr w:type="lastRow">
      <w:rPr>
        <w:b/>
        <w:color w:val="8c6a0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12"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5"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6"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362b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3362b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62b0"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362b0"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8c6a01"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8c6a0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c6a01"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8c6a01"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1c7067"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1c706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c706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1c706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1c706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1c706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9b1626" w:themeColor="accent6"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9b1626"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1626"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9b1626"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9b1626"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9b1626"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fdd762"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7bded3"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ef949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874cb" w:themeFill="accent1"/>
    </w:tblPr>
    <w:tcPr>
      <w:tcBorders/>
    </w:tcPr>
    <w:tblStylePr w:type="band1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874cb"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874cb"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383" w:themeFill="accent2" w:themeFillTint="97"/>
    </w:tblPr>
    <w:tcPr>
      <w:tcBorders/>
    </w:tcPr>
    <w:tblStylePr w:type="band1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383"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383"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dd762" w:themeFill="accent3" w:themeFillTint="98"/>
    </w:tblPr>
    <w:tcPr>
      <w:tcBorders/>
    </w:tcPr>
    <w:tblStylePr w:type="band1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fdd762"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fdd762"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acd78c" w:themeFill="accent4" w:themeFillTint="9A"/>
    </w:tblPr>
    <w:tcPr>
      <w:tcBorders/>
    </w:tcPr>
    <w:tblStylePr w:type="band1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acd78c"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acd78c"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7bded3" w:themeFill="accent5" w:themeFillTint="9A"/>
    </w:tblPr>
    <w:tcPr>
      <w:tcBorders/>
    </w:tcPr>
    <w:tblStylePr w:type="band1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7bded3"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7bded3"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ef949f" w:themeFill="accent6" w:themeFillTint="98"/>
    </w:tblPr>
    <w:tcPr>
      <w:tcBorders/>
    </w:tcPr>
    <w:tblStylePr w:type="band1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ef949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ef949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3427c" w:themeColor="accent1" w:themeShade="95"/>
      </w:rPr>
      <w:pPr>
        <w:pBdr/>
        <w:spacing/>
        <w:ind/>
      </w:pPr>
      <w:tblPr>
        <w:tblBorders/>
      </w:tblPr>
      <w:tcPr>
        <w:tcBorders/>
      </w:tcPr>
    </w:tblStylePr>
    <w:tblStylePr w:type="firstRow">
      <w:rPr>
        <w:b/>
        <w:color w:val="23427c" w:themeColor="accent1" w:themeShade="95"/>
      </w:rPr>
      <w:pPr>
        <w:pBdr/>
        <w:spacing/>
        <w:ind/>
      </w:pPr>
      <w:tblPr>
        <w:tblBorders/>
      </w:tblPr>
      <w:tcPr>
        <w:tcBorders>
          <w:bottom w:val="single" w:color="000000" w:themeColor="accent1" w:sz="4" w:space="0"/>
        </w:tcBorders>
      </w:tcPr>
    </w:tblStylePr>
    <w:tblStylePr w:type="lastCol">
      <w:rPr>
        <w:b/>
        <w:color w:val="23427c" w:themeColor="accent1" w:themeShade="95"/>
      </w:rPr>
      <w:pPr>
        <w:pBdr/>
        <w:spacing/>
        <w:ind/>
      </w:pPr>
      <w:tblPr>
        <w:tblBorders/>
      </w:tblPr>
      <w:tcPr>
        <w:tcBorders/>
      </w:tcPr>
    </w:tblStylePr>
    <w:tblStylePr w:type="lastRow">
      <w:rPr>
        <w:b/>
        <w:color w:val="23427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4"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9802" w:themeColor="accent3" w:themeTint="98" w:themeShade="95"/>
      </w:rPr>
      <w:pPr>
        <w:pBdr/>
        <w:spacing/>
        <w:ind/>
      </w:pPr>
      <w:tblPr>
        <w:tblBorders/>
      </w:tblPr>
      <w:tcPr>
        <w:tcBorders/>
      </w:tcPr>
    </w:tblStylePr>
    <w:tblStylePr w:type="firstRow">
      <w:rPr>
        <w:b/>
        <w:color w:val="c99802" w:themeColor="accent3" w:themeTint="98" w:themeShade="95"/>
      </w:rPr>
      <w:pPr>
        <w:pBdr/>
        <w:spacing/>
        <w:ind/>
      </w:pPr>
      <w:tblPr>
        <w:tblBorders/>
      </w:tblPr>
      <w:tcPr>
        <w:tcBorders>
          <w:bottom w:val="single" w:color="000000" w:themeColor="accent3" w:themeTint="98" w:sz="4" w:space="0"/>
        </w:tcBorders>
      </w:tcPr>
    </w:tblStylePr>
    <w:tblStylePr w:type="lastCol">
      <w:rPr>
        <w:b/>
        <w:color w:val="c99802" w:themeColor="accent3" w:themeTint="98" w:themeShade="95"/>
      </w:rPr>
      <w:pPr>
        <w:pBdr/>
        <w:spacing/>
        <w:ind/>
      </w:pPr>
      <w:tblPr>
        <w:tblBorders/>
      </w:tblPr>
      <w:tcPr>
        <w:tcBorders/>
      </w:tcPr>
    </w:tblStylePr>
    <w:tblStylePr w:type="lastRow">
      <w:rPr>
        <w:b/>
        <w:color w:val="c99802"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4"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8a191" w:themeColor="accent5" w:themeTint="9A" w:themeShade="95"/>
      </w:rPr>
      <w:pPr>
        <w:pBdr/>
        <w:spacing/>
        <w:ind/>
      </w:pPr>
      <w:tblPr>
        <w:tblBorders/>
      </w:tblPr>
      <w:tcPr>
        <w:tcBorders/>
      </w:tcPr>
    </w:tblStylePr>
    <w:tblStylePr w:type="firstRow">
      <w:rPr>
        <w:b/>
        <w:color w:val="28a191" w:themeColor="accent5" w:themeTint="9A" w:themeShade="95"/>
      </w:rPr>
      <w:pPr>
        <w:pBdr/>
        <w:spacing/>
        <w:ind/>
      </w:pPr>
      <w:tblPr>
        <w:tblBorders/>
      </w:tblPr>
      <w:tcPr>
        <w:tcBorders>
          <w:bottom w:val="single" w:color="000000" w:themeColor="accent5" w:themeTint="9A" w:sz="4" w:space="0"/>
        </w:tcBorders>
      </w:tcPr>
    </w:tblStylePr>
    <w:tblStylePr w:type="lastCol">
      <w:rPr>
        <w:b/>
        <w:color w:val="28a191" w:themeColor="accent5" w:themeTint="9A" w:themeShade="95"/>
      </w:rPr>
      <w:pPr>
        <w:pBdr/>
        <w:spacing/>
        <w:ind/>
      </w:pPr>
      <w:tblPr>
        <w:tblBorders/>
      </w:tblPr>
      <w:tcPr>
        <w:tcBorders/>
      </w:tcPr>
    </w:tblStylePr>
    <w:tblStylePr w:type="lastRow">
      <w:rPr>
        <w:b/>
        <w:color w:val="28a19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41d35" w:themeColor="accent6" w:themeTint="98" w:themeShade="95"/>
      </w:rPr>
      <w:pPr>
        <w:pBdr/>
        <w:spacing/>
        <w:ind/>
      </w:pPr>
      <w:tblPr>
        <w:tblBorders/>
      </w:tblPr>
      <w:tcPr>
        <w:tcBorders/>
      </w:tcPr>
    </w:tblStylePr>
    <w:tblStylePr w:type="firstRow">
      <w:rPr>
        <w:b/>
        <w:color w:val="c41d35" w:themeColor="accent6" w:themeTint="98" w:themeShade="95"/>
      </w:rPr>
      <w:pPr>
        <w:pBdr/>
        <w:spacing/>
        <w:ind/>
      </w:pPr>
      <w:tblPr>
        <w:tblBorders/>
      </w:tblPr>
      <w:tcPr>
        <w:tcBorders>
          <w:bottom w:val="single" w:color="000000" w:themeColor="accent6" w:themeTint="98" w:sz="4" w:space="0"/>
        </w:tcBorders>
      </w:tcPr>
    </w:tblStylePr>
    <w:tblStylePr w:type="lastCol">
      <w:rPr>
        <w:b/>
        <w:color w:val="c41d35" w:themeColor="accent6" w:themeTint="98" w:themeShade="95"/>
      </w:rPr>
      <w:pPr>
        <w:pBdr/>
        <w:spacing/>
        <w:ind/>
      </w:pPr>
      <w:tblPr>
        <w:tblBorders/>
      </w:tblPr>
      <w:tcPr>
        <w:tcBorders/>
      </w:tcPr>
    </w:tblStylePr>
    <w:tblStylePr w:type="lastRow">
      <w:rPr>
        <w:b/>
        <w:color w:val="c41d35"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3427c"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23427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3427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3427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3427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3427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3427c" w:themeColor="accent1" w:themeShade="95"/>
        <w:sz w:val="22"/>
      </w:rPr>
      <w:pPr>
        <w:pBdr/>
        <w:spacing/>
        <w:ind/>
      </w:pPr>
      <w:tblPr>
        <w:tblBorders/>
      </w:tblPr>
      <w:tcPr>
        <w:tcBorders/>
      </w:tcPr>
    </w:tblStylePr>
  </w:style>
  <w:style w:type="table" w:styleId="148">
    <w:name w:val="List Table 7 Colorful - Accent 2"/>
    <w:basedOn w:val="62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85f11" w:themeColor="accent2" w:themeTint="97" w:themeShade="95"/>
        <w:sz w:val="22"/>
      </w:rPr>
      <w:pPr>
        <w:pBdr/>
        <w:spacing/>
        <w:ind/>
      </w:pPr>
      <w:tblPr>
        <w:tblBorders/>
      </w:tblPr>
      <w:tcPr>
        <w:tcBorders/>
      </w:tcPr>
    </w:tblStylePr>
  </w:style>
  <w:style w:type="table" w:styleId="149">
    <w:name w:val="List Table 7 Colorful - Accent 3"/>
    <w:basedOn w:val="62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c99802"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c99802"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9802"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c99802"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9802" w:themeColor="accent3" w:themeTint="98" w:themeShade="95"/>
        <w:sz w:val="22"/>
      </w:rPr>
      <w:pPr>
        <w:pBdr/>
        <w:spacing/>
        <w:ind/>
      </w:pPr>
      <w:tblPr>
        <w:tblBorders/>
      </w:tblPr>
      <w:tcPr>
        <w:tcBorders/>
      </w:tcPr>
    </w:tblStylePr>
  </w:style>
  <w:style w:type="table" w:styleId="150">
    <w:name w:val="List Table 7 Colorful - Accent 4"/>
    <w:basedOn w:val="62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19835" w:themeColor="accent4" w:themeTint="9A" w:themeShade="95"/>
        <w:sz w:val="22"/>
      </w:rPr>
      <w:pPr>
        <w:pBdr/>
        <w:spacing/>
        <w:ind/>
      </w:pPr>
      <w:tblPr>
        <w:tblBorders/>
      </w:tblPr>
      <w:tcPr>
        <w:tcBorders/>
      </w:tcPr>
    </w:tblStylePr>
  </w:style>
  <w:style w:type="table" w:styleId="151">
    <w:name w:val="List Table 7 Colorful - Accent 5"/>
    <w:basedOn w:val="62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8a191"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28a19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8a19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8a19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8a191" w:themeColor="accent5" w:themeTint="9A" w:themeShade="95"/>
        <w:sz w:val="22"/>
      </w:rPr>
      <w:pPr>
        <w:pBdr/>
        <w:spacing/>
        <w:ind/>
      </w:pPr>
      <w:tblPr>
        <w:tblBorders/>
      </w:tblPr>
      <w:tcPr>
        <w:tcBorders/>
      </w:tcPr>
    </w:tblStylePr>
  </w:style>
  <w:style w:type="table" w:styleId="152">
    <w:name w:val="List Table 7 Colorful - Accent 6"/>
    <w:basedOn w:val="62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c41d35"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c41d35"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41d35"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c41d35"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41d35" w:themeColor="accent6" w:themeTint="98" w:themeShade="95"/>
        <w:sz w:val="22"/>
      </w:rPr>
      <w:pPr>
        <w:pBdr/>
        <w:spacing/>
        <w:ind/>
      </w:pPr>
      <w:tblPr>
        <w:tblBorders/>
      </w:tblPr>
      <w:tcPr>
        <w:tcBorders/>
      </w:tcPr>
    </w:tblStylePr>
  </w:style>
  <w:style w:type="table" w:styleId="153">
    <w:name w:val="Lined - Accent"/>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19"/>
    <w:uiPriority w:val="99"/>
    <w:unhideWhenUsed/>
    <w:pPr>
      <w:pBdr/>
      <w:spacing/>
      <w:ind/>
    </w:pPr>
    <w:rPr>
      <w:vertAlign w:val="superscript"/>
    </w:rPr>
  </w:style>
  <w:style w:type="paragraph" w:styleId="178">
    <w:name w:val="endnote text"/>
    <w:basedOn w:val="61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19"/>
    <w:uiPriority w:val="99"/>
    <w:semiHidden/>
    <w:unhideWhenUsed/>
    <w:pPr>
      <w:pBdr/>
      <w:spacing/>
      <w:ind/>
    </w:pPr>
    <w:rPr>
      <w:vertAlign w:val="superscript"/>
    </w:rPr>
  </w:style>
  <w:style w:type="paragraph" w:styleId="181">
    <w:name w:val="toc 1"/>
    <w:basedOn w:val="618"/>
    <w:next w:val="618"/>
    <w:uiPriority w:val="39"/>
    <w:unhideWhenUsed/>
    <w:pPr>
      <w:pBdr/>
      <w:spacing w:after="57"/>
      <w:ind w:right="0" w:firstLine="0" w:left="0"/>
    </w:pPr>
  </w:style>
  <w:style w:type="paragraph" w:styleId="182">
    <w:name w:val="toc 2"/>
    <w:basedOn w:val="618"/>
    <w:next w:val="618"/>
    <w:uiPriority w:val="39"/>
    <w:unhideWhenUsed/>
    <w:pPr>
      <w:pBdr/>
      <w:spacing w:after="57"/>
      <w:ind w:right="0" w:firstLine="0" w:left="283"/>
    </w:pPr>
  </w:style>
  <w:style w:type="paragraph" w:styleId="183">
    <w:name w:val="toc 3"/>
    <w:basedOn w:val="618"/>
    <w:next w:val="618"/>
    <w:uiPriority w:val="39"/>
    <w:unhideWhenUsed/>
    <w:pPr>
      <w:pBdr/>
      <w:spacing w:after="57"/>
      <w:ind w:right="0" w:firstLine="0" w:left="567"/>
    </w:pPr>
  </w:style>
  <w:style w:type="paragraph" w:styleId="184">
    <w:name w:val="toc 4"/>
    <w:basedOn w:val="618"/>
    <w:next w:val="618"/>
    <w:uiPriority w:val="39"/>
    <w:unhideWhenUsed/>
    <w:pPr>
      <w:pBdr/>
      <w:spacing w:after="57"/>
      <w:ind w:right="0" w:firstLine="0" w:left="850"/>
    </w:pPr>
  </w:style>
  <w:style w:type="paragraph" w:styleId="185">
    <w:name w:val="toc 5"/>
    <w:basedOn w:val="618"/>
    <w:next w:val="618"/>
    <w:uiPriority w:val="39"/>
    <w:unhideWhenUsed/>
    <w:pPr>
      <w:pBdr/>
      <w:spacing w:after="57"/>
      <w:ind w:right="0" w:firstLine="0" w:left="1134"/>
    </w:pPr>
  </w:style>
  <w:style w:type="paragraph" w:styleId="186">
    <w:name w:val="toc 6"/>
    <w:basedOn w:val="618"/>
    <w:next w:val="618"/>
    <w:uiPriority w:val="39"/>
    <w:unhideWhenUsed/>
    <w:pPr>
      <w:pBdr/>
      <w:spacing w:after="57"/>
      <w:ind w:right="0" w:firstLine="0" w:left="1417"/>
    </w:pPr>
  </w:style>
  <w:style w:type="paragraph" w:styleId="187">
    <w:name w:val="toc 7"/>
    <w:basedOn w:val="618"/>
    <w:next w:val="618"/>
    <w:uiPriority w:val="39"/>
    <w:unhideWhenUsed/>
    <w:pPr>
      <w:pBdr/>
      <w:spacing w:after="57"/>
      <w:ind w:right="0" w:firstLine="0" w:left="1701"/>
    </w:pPr>
  </w:style>
  <w:style w:type="paragraph" w:styleId="188">
    <w:name w:val="toc 8"/>
    <w:basedOn w:val="618"/>
    <w:next w:val="618"/>
    <w:uiPriority w:val="39"/>
    <w:unhideWhenUsed/>
    <w:pPr>
      <w:pBdr/>
      <w:spacing w:after="57"/>
      <w:ind w:right="0" w:firstLine="0" w:left="1984"/>
    </w:pPr>
  </w:style>
  <w:style w:type="paragraph" w:styleId="189">
    <w:name w:val="toc 9"/>
    <w:basedOn w:val="618"/>
    <w:next w:val="61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8"/>
    <w:next w:val="618"/>
    <w:uiPriority w:val="99"/>
    <w:unhideWhenUsed/>
    <w:pPr>
      <w:pBdr/>
      <w:spacing w:after="0" w:afterAutospacing="0"/>
      <w:ind/>
    </w:pPr>
  </w:style>
  <w:style w:type="paragraph" w:styleId="618" w:default="1">
    <w:name w:val="Normal"/>
    <w:uiPriority w:val="0"/>
    <w:qFormat/>
    <w:pPr>
      <w:widowControl w:val="false"/>
      <w:pBdr/>
      <w:spacing/>
      <w:ind/>
      <w:jc w:val="both"/>
    </w:pPr>
    <w:rPr>
      <w:rFonts w:ascii="Calibri" w:hAnsi="Calibri" w:eastAsia="宋体" w:cs="Times New Roman"/>
      <w:sz w:val="21"/>
      <w:szCs w:val="24"/>
      <w:lang w:val="en-US" w:eastAsia="zh-CN" w:bidi="ar-SA"/>
    </w:rPr>
  </w:style>
  <w:style w:type="character" w:styleId="619" w:default="1">
    <w:name w:val="Default Paragraph Font"/>
    <w:uiPriority w:val="0"/>
    <w:semiHidden/>
    <w:qFormat/>
    <w:pPr>
      <w:pBdr/>
      <w:spacing/>
      <w:ind/>
    </w:pPr>
  </w:style>
  <w:style w:type="table" w:styleId="620" w:default="1">
    <w:name w:val="Normal Table"/>
    <w:uiPriority w:val="0"/>
    <w:semiHidden/>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1">
    <w:name w:val="Footer"/>
    <w:basedOn w:val="618"/>
    <w:uiPriority w:val="0"/>
    <w:qFormat/>
    <w:pPr>
      <w:pBdr/>
      <w:tabs>
        <w:tab w:val="center" w:leader="none" w:pos="4153"/>
        <w:tab w:val="right" w:leader="none" w:pos="8306"/>
      </w:tabs>
      <w:spacing/>
      <w:ind/>
      <w:jc w:val="left"/>
    </w:pPr>
    <w:rPr>
      <w:sz w:val="18"/>
    </w:rPr>
  </w:style>
  <w:style w:type="numbering" w:styleId="1666"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杨祖德</dc:creator>
  <cp:lastModifiedBy>匿名</cp:lastModifiedBy>
  <cp:revision>2</cp:revision>
  <dcterms:created xsi:type="dcterms:W3CDTF">2025-06-19T03:30:00Z</dcterms:created>
  <dcterms:modified xsi:type="dcterms:W3CDTF">2025-09-05T02:55:52Z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BE569BFC8DBE44F8A6B1D6D6FB770CAF_11</vt:lpwstr>
  </property>
</Properties>
</file>