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黑体" w:cs="Times New Roman"/>
          <w:sz w:val="28"/>
          <w:szCs w:val="28"/>
          <w:lang w:val="en-US"/>
        </w:rPr>
      </w:pPr>
      <w:r>
        <w:rPr>
          <w:rFonts w:hint="eastAsia" w:ascii="Times New Roman" w:hAnsi="Times New Roman" w:eastAsia="黑体" w:cs="Times New Roman"/>
          <w:kern w:val="2"/>
          <w:sz w:val="28"/>
          <w:szCs w:val="28"/>
          <w:lang w:val="en-US" w:eastAsia="zh-CN" w:bidi="ar"/>
        </w:rPr>
        <w:t>附表</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z w:val="32"/>
          <w:szCs w:val="32"/>
          <w:lang w:val="en-US"/>
        </w:rPr>
      </w:pPr>
      <w:r>
        <w:rPr>
          <w:rFonts w:hint="eastAsia" w:ascii="Times New Roman" w:hAnsi="Times New Roman" w:eastAsia="宋体" w:cs="Times New Roman"/>
          <w:b/>
          <w:bCs w:val="0"/>
          <w:kern w:val="2"/>
          <w:sz w:val="32"/>
          <w:szCs w:val="32"/>
          <w:lang w:val="en-US" w:eastAsia="zh-CN" w:bidi="ar"/>
        </w:rPr>
        <w:t>中央节能减排补助资金转移支付区域（项目）绩效目标</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val="0"/>
          <w:sz w:val="32"/>
          <w:szCs w:val="32"/>
          <w:lang w:val="en-US"/>
        </w:rPr>
      </w:pPr>
      <w:r>
        <w:rPr>
          <w:rFonts w:hint="eastAsia" w:ascii="Times New Roman" w:hAnsi="Times New Roman" w:eastAsia="宋体" w:cs="Times New Roman"/>
          <w:b/>
          <w:bCs w:val="0"/>
          <w:kern w:val="2"/>
          <w:sz w:val="32"/>
          <w:szCs w:val="32"/>
          <w:lang w:val="en-US" w:eastAsia="zh-CN" w:bidi="ar"/>
        </w:rPr>
        <w:t>自评表</w:t>
      </w: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Cs/>
          <w:sz w:val="28"/>
          <w:szCs w:val="28"/>
          <w:lang w:val="en-US"/>
        </w:rPr>
      </w:pPr>
      <w:r>
        <w:rPr>
          <w:rFonts w:hint="eastAsia" w:ascii="Times New Roman" w:hAnsi="Times New Roman" w:eastAsia="宋体" w:cs="Times New Roman"/>
          <w:bCs/>
          <w:kern w:val="2"/>
          <w:sz w:val="28"/>
          <w:szCs w:val="28"/>
          <w:lang w:val="en-US" w:eastAsia="zh-CN" w:bidi="ar"/>
        </w:rPr>
        <w:t>（</w:t>
      </w:r>
      <w:r>
        <w:rPr>
          <w:rFonts w:hint="default" w:ascii="Times New Roman" w:hAnsi="Times New Roman" w:eastAsia="宋体" w:cs="Times New Roman"/>
          <w:bCs/>
          <w:kern w:val="2"/>
          <w:sz w:val="28"/>
          <w:szCs w:val="28"/>
          <w:lang w:val="en-US" w:eastAsia="zh-CN" w:bidi="ar"/>
        </w:rPr>
        <w:t>2020</w:t>
      </w:r>
      <w:r>
        <w:rPr>
          <w:rFonts w:hint="eastAsia" w:ascii="Times New Roman" w:hAnsi="Times New Roman" w:eastAsia="宋体" w:cs="Times New Roman"/>
          <w:bCs/>
          <w:kern w:val="2"/>
          <w:sz w:val="28"/>
          <w:szCs w:val="28"/>
          <w:lang w:val="en-US" w:eastAsia="zh-CN" w:bidi="ar"/>
        </w:rPr>
        <w:t>年度）</w:t>
      </w:r>
    </w:p>
    <w:tbl>
      <w:tblPr>
        <w:tblStyle w:val="2"/>
        <w:tblW w:w="9433" w:type="dxa"/>
        <w:jc w:val="center"/>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796"/>
        <w:gridCol w:w="957"/>
        <w:gridCol w:w="1108"/>
        <w:gridCol w:w="1283"/>
        <w:gridCol w:w="1282"/>
        <w:gridCol w:w="145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87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转移支付名称</w:t>
            </w:r>
          </w:p>
        </w:tc>
        <w:tc>
          <w:tcPr>
            <w:tcW w:w="7557"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中央节能减排补助资金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3" w:hRule="atLeast"/>
          <w:jc w:val="center"/>
        </w:trPr>
        <w:tc>
          <w:tcPr>
            <w:tcW w:w="187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主管部门</w:t>
            </w:r>
          </w:p>
        </w:tc>
        <w:tc>
          <w:tcPr>
            <w:tcW w:w="7557" w:type="dxa"/>
            <w:gridSpan w:val="6"/>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工业和信息化部门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3" w:hRule="atLeast"/>
          <w:jc w:val="center"/>
        </w:trPr>
        <w:tc>
          <w:tcPr>
            <w:tcW w:w="1876"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地方主管部门</w:t>
            </w:r>
          </w:p>
        </w:tc>
        <w:tc>
          <w:tcPr>
            <w:tcW w:w="334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湖南省工业和信息化厅</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实施单位</w:t>
            </w:r>
          </w:p>
        </w:tc>
        <w:tc>
          <w:tcPr>
            <w:tcW w:w="29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湖南省内新能源汽车生产企业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876"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项目资金</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（万元）</w:t>
            </w:r>
          </w:p>
        </w:tc>
        <w:tc>
          <w:tcPr>
            <w:tcW w:w="206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000000"/>
                <w:kern w:val="0"/>
                <w:szCs w:val="21"/>
                <w:bdr w:val="none" w:color="auto" w:sz="0" w:space="0"/>
                <w:lang w:val="en-US"/>
              </w:rPr>
            </w:pPr>
          </w:p>
        </w:tc>
        <w:tc>
          <w:tcPr>
            <w:tcW w:w="12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全年预算数（</w:t>
            </w:r>
            <w:r>
              <w:rPr>
                <w:rFonts w:hint="default" w:ascii="Times New Roman" w:hAnsi="Times New Roman" w:eastAsia="宋体" w:cs="Times New Roman"/>
                <w:color w:val="000000"/>
                <w:kern w:val="0"/>
                <w:sz w:val="21"/>
                <w:szCs w:val="21"/>
                <w:bdr w:val="none" w:color="auto" w:sz="0" w:space="0"/>
                <w:lang w:val="en-US" w:eastAsia="zh-CN" w:bidi="ar"/>
              </w:rPr>
              <w:t>A</w:t>
            </w:r>
            <w:r>
              <w:rPr>
                <w:rFonts w:hint="eastAsia" w:ascii="Times New Roman" w:hAnsi="Times New Roman" w:eastAsia="宋体" w:cs="Times New Roman"/>
                <w:color w:val="000000"/>
                <w:kern w:val="0"/>
                <w:sz w:val="21"/>
                <w:szCs w:val="21"/>
                <w:bdr w:val="none" w:color="auto" w:sz="0" w:space="0"/>
                <w:lang w:val="en-US" w:eastAsia="zh-CN" w:bidi="ar"/>
              </w:rPr>
              <w:t>）</w:t>
            </w:r>
          </w:p>
        </w:tc>
        <w:tc>
          <w:tcPr>
            <w:tcW w:w="27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全年执行数（</w:t>
            </w:r>
            <w:r>
              <w:rPr>
                <w:rFonts w:hint="default" w:ascii="Times New Roman" w:hAnsi="Times New Roman" w:eastAsia="宋体" w:cs="Times New Roman"/>
                <w:color w:val="000000"/>
                <w:kern w:val="0"/>
                <w:sz w:val="21"/>
                <w:szCs w:val="21"/>
                <w:bdr w:val="none" w:color="auto" w:sz="0" w:space="0"/>
                <w:lang w:val="en-US" w:eastAsia="zh-CN" w:bidi="ar"/>
              </w:rPr>
              <w:t>B</w:t>
            </w:r>
            <w:r>
              <w:rPr>
                <w:rFonts w:hint="eastAsia" w:ascii="Times New Roman" w:hAnsi="Times New Roman" w:eastAsia="宋体" w:cs="Times New Roman"/>
                <w:color w:val="000000"/>
                <w:kern w:val="0"/>
                <w:sz w:val="21"/>
                <w:szCs w:val="21"/>
                <w:bdr w:val="none" w:color="auto" w:sz="0" w:space="0"/>
                <w:lang w:val="en-US" w:eastAsia="zh-CN" w:bidi="ar"/>
              </w:rPr>
              <w:t>）</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执行率（</w:t>
            </w:r>
            <w:r>
              <w:rPr>
                <w:rFonts w:hint="default" w:ascii="Times New Roman" w:hAnsi="Times New Roman" w:eastAsia="宋体" w:cs="Times New Roman"/>
                <w:color w:val="000000"/>
                <w:kern w:val="0"/>
                <w:sz w:val="21"/>
                <w:szCs w:val="21"/>
                <w:bdr w:val="none" w:color="auto" w:sz="0" w:space="0"/>
                <w:lang w:val="en-US" w:eastAsia="zh-CN" w:bidi="ar"/>
              </w:rPr>
              <w: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3" w:hRule="atLeast"/>
          <w:jc w:val="center"/>
        </w:trPr>
        <w:tc>
          <w:tcPr>
            <w:tcW w:w="1876"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06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年度资金总额：</w:t>
            </w:r>
          </w:p>
        </w:tc>
        <w:tc>
          <w:tcPr>
            <w:tcW w:w="12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243210</w:t>
            </w:r>
          </w:p>
        </w:tc>
        <w:tc>
          <w:tcPr>
            <w:tcW w:w="27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243210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3" w:hRule="atLeast"/>
          <w:jc w:val="center"/>
        </w:trPr>
        <w:tc>
          <w:tcPr>
            <w:tcW w:w="1876"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06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 xml:space="preserve"> </w:t>
            </w:r>
            <w:r>
              <w:rPr>
                <w:rFonts w:hint="eastAsia" w:ascii="Times New Roman" w:hAnsi="Times New Roman" w:eastAsia="宋体" w:cs="Times New Roman"/>
                <w:color w:val="000000"/>
                <w:kern w:val="0"/>
                <w:sz w:val="21"/>
                <w:szCs w:val="21"/>
                <w:bdr w:val="none" w:color="auto" w:sz="0" w:space="0"/>
                <w:lang w:val="en-US" w:eastAsia="zh-CN" w:bidi="ar"/>
              </w:rPr>
              <w:t>其中：中央补助</w:t>
            </w:r>
          </w:p>
        </w:tc>
        <w:tc>
          <w:tcPr>
            <w:tcW w:w="12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243210</w:t>
            </w:r>
          </w:p>
        </w:tc>
        <w:tc>
          <w:tcPr>
            <w:tcW w:w="27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243210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jc w:val="center"/>
        </w:trPr>
        <w:tc>
          <w:tcPr>
            <w:tcW w:w="1876"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06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 xml:space="preserve">      </w:t>
            </w:r>
            <w:r>
              <w:rPr>
                <w:rFonts w:hint="eastAsia" w:ascii="Times New Roman" w:hAnsi="Times New Roman" w:eastAsia="宋体" w:cs="Times New Roman"/>
                <w:color w:val="000000"/>
                <w:kern w:val="0"/>
                <w:sz w:val="21"/>
                <w:szCs w:val="21"/>
                <w:bdr w:val="none" w:color="auto" w:sz="0" w:space="0"/>
                <w:lang w:val="en-US" w:eastAsia="zh-CN" w:bidi="ar"/>
              </w:rPr>
              <w:t>地方资金</w:t>
            </w:r>
          </w:p>
        </w:tc>
        <w:tc>
          <w:tcPr>
            <w:tcW w:w="12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0</w:t>
            </w:r>
          </w:p>
        </w:tc>
        <w:tc>
          <w:tcPr>
            <w:tcW w:w="27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1876"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06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 xml:space="preserve"> </w:t>
            </w:r>
            <w:r>
              <w:rPr>
                <w:rFonts w:hint="eastAsia" w:ascii="Times New Roman" w:hAnsi="Times New Roman" w:eastAsia="宋体" w:cs="Times New Roman"/>
                <w:color w:val="000000"/>
                <w:kern w:val="0"/>
                <w:sz w:val="21"/>
                <w:szCs w:val="21"/>
                <w:bdr w:val="none" w:color="auto" w:sz="0" w:space="0"/>
                <w:lang w:val="en-US" w:eastAsia="zh-CN" w:bidi="ar"/>
              </w:rPr>
              <w:t>其他资金</w:t>
            </w:r>
          </w:p>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w:t>
            </w:r>
            <w:r>
              <w:rPr>
                <w:rFonts w:hint="eastAsia" w:ascii="Times New Roman" w:hAnsi="Times New Roman" w:eastAsia="宋体" w:cs="Times New Roman"/>
                <w:color w:val="000000"/>
                <w:spacing w:val="-10"/>
                <w:kern w:val="0"/>
                <w:sz w:val="21"/>
                <w:szCs w:val="21"/>
                <w:bdr w:val="none" w:color="auto" w:sz="0" w:space="0"/>
                <w:lang w:val="en-US" w:eastAsia="zh-CN" w:bidi="ar"/>
              </w:rPr>
              <w:t>包括结转结余</w:t>
            </w:r>
            <w:r>
              <w:rPr>
                <w:rFonts w:hint="eastAsia" w:ascii="Times New Roman" w:hAnsi="Times New Roman" w:eastAsia="宋体" w:cs="Times New Roman"/>
                <w:color w:val="000000"/>
                <w:kern w:val="0"/>
                <w:sz w:val="21"/>
                <w:szCs w:val="21"/>
                <w:bdr w:val="none" w:color="auto" w:sz="0" w:space="0"/>
                <w:lang w:val="en-US" w:eastAsia="zh-CN" w:bidi="ar"/>
              </w:rPr>
              <w:t>）</w:t>
            </w:r>
          </w:p>
        </w:tc>
        <w:tc>
          <w:tcPr>
            <w:tcW w:w="12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0</w:t>
            </w:r>
          </w:p>
        </w:tc>
        <w:tc>
          <w:tcPr>
            <w:tcW w:w="2733"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43" w:hRule="atLeast"/>
          <w:jc w:val="center"/>
        </w:trPr>
        <w:tc>
          <w:tcPr>
            <w:tcW w:w="1080" w:type="dxa"/>
            <w:vMerge w:val="restart"/>
            <w:tcBorders>
              <w:top w:val="nil"/>
              <w:left w:val="single" w:color="auto"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总体目标完成情况</w:t>
            </w:r>
          </w:p>
        </w:tc>
        <w:tc>
          <w:tcPr>
            <w:tcW w:w="4144" w:type="dxa"/>
            <w:gridSpan w:val="4"/>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年初设定目标</w:t>
            </w:r>
          </w:p>
        </w:tc>
        <w:tc>
          <w:tcPr>
            <w:tcW w:w="420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jc w:val="center"/>
        </w:trPr>
        <w:tc>
          <w:tcPr>
            <w:tcW w:w="1080" w:type="dxa"/>
            <w:vMerge w:val="continue"/>
            <w:tcBorders>
              <w:top w:val="nil"/>
              <w:left w:val="single" w:color="auto" w:sz="4" w:space="0"/>
              <w:bottom w:val="single" w:color="000000" w:sz="4" w:space="0"/>
              <w:right w:val="single" w:color="auto" w:sz="4" w:space="0"/>
            </w:tcBorders>
            <w:shd w:val="clear"/>
            <w:vAlign w:val="center"/>
          </w:tcPr>
          <w:p>
            <w:pPr>
              <w:rPr>
                <w:rFonts w:hint="eastAsia" w:ascii="等线" w:hAnsi="等线" w:eastAsia="等线" w:cs="等线"/>
                <w:sz w:val="20"/>
                <w:szCs w:val="20"/>
              </w:rPr>
            </w:pPr>
          </w:p>
        </w:tc>
        <w:tc>
          <w:tcPr>
            <w:tcW w:w="414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w:t>
            </w:r>
            <w:r>
              <w:rPr>
                <w:rFonts w:hint="eastAsia" w:ascii="Times New Roman" w:hAnsi="Times New Roman" w:eastAsia="宋体" w:cs="Times New Roman"/>
                <w:color w:val="000000"/>
                <w:kern w:val="0"/>
                <w:sz w:val="21"/>
                <w:szCs w:val="21"/>
                <w:bdr w:val="none" w:color="auto" w:sz="0" w:space="0"/>
                <w:lang w:val="en-US" w:eastAsia="zh-CN" w:bidi="ar"/>
              </w:rPr>
              <w:t>、支持符合要求的新能源汽车产品推广</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2</w:t>
            </w:r>
            <w:r>
              <w:rPr>
                <w:rFonts w:hint="eastAsia" w:ascii="Times New Roman" w:hAnsi="Times New Roman" w:eastAsia="宋体" w:cs="Times New Roman"/>
                <w:color w:val="000000"/>
                <w:kern w:val="0"/>
                <w:sz w:val="21"/>
                <w:szCs w:val="21"/>
                <w:bdr w:val="none" w:color="auto" w:sz="0" w:space="0"/>
                <w:lang w:val="en-US" w:eastAsia="zh-CN" w:bidi="ar"/>
              </w:rPr>
              <w:t>、支持符合要求的节能与新能源公交车运营</w:t>
            </w:r>
          </w:p>
        </w:tc>
        <w:tc>
          <w:tcPr>
            <w:tcW w:w="420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全面完成总体目标。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jc w:val="center"/>
        </w:trPr>
        <w:tc>
          <w:tcPr>
            <w:tcW w:w="1080" w:type="dxa"/>
            <w:vMerge w:val="restart"/>
            <w:tcBorders>
              <w:top w:val="nil"/>
              <w:left w:val="single" w:color="auto" w:sz="4" w:space="0"/>
              <w:bottom w:val="single" w:color="auto" w:sz="4" w:space="0"/>
              <w:right w:val="single" w:color="auto" w:sz="4" w:space="0"/>
            </w:tcBorders>
            <w:shd w:val="clear"/>
            <w:textDirection w:val="tbRlV"/>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绩效指标</w:t>
            </w: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一级</w:t>
            </w:r>
            <w:r>
              <w:rPr>
                <w:rFonts w:hint="default" w:ascii="Times New Roman" w:hAnsi="Times New Roman" w:eastAsia="宋体" w:cs="Times New Roman"/>
                <w:color w:val="000000"/>
                <w:kern w:val="0"/>
                <w:sz w:val="21"/>
                <w:szCs w:val="21"/>
                <w:bdr w:val="none" w:color="auto" w:sz="0" w:space="0"/>
                <w:lang w:val="en-US" w:eastAsia="zh-CN" w:bidi="ar"/>
              </w:rPr>
              <w:br w:type="textWrapping"/>
            </w:r>
            <w:r>
              <w:rPr>
                <w:rFonts w:hint="eastAsia" w:ascii="Times New Roman" w:hAnsi="Times New Roman" w:eastAsia="宋体" w:cs="Times New Roman"/>
                <w:color w:val="000000"/>
                <w:kern w:val="0"/>
                <w:sz w:val="21"/>
                <w:szCs w:val="21"/>
                <w:bdr w:val="none" w:color="auto" w:sz="0" w:space="0"/>
                <w:lang w:val="en-US" w:eastAsia="zh-CN" w:bidi="ar"/>
              </w:rPr>
              <w:t>指标</w:t>
            </w: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二级</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三级指标</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年度指标值</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全年完成值</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产</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出</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指</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标</w:t>
            </w: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数量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推广新能源汽车数量</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≥12000</w:t>
            </w:r>
            <w:r>
              <w:rPr>
                <w:rFonts w:hint="eastAsia" w:ascii="Times New Roman" w:hAnsi="Times New Roman" w:eastAsia="宋体" w:cs="Times New Roman"/>
                <w:color w:val="000000"/>
                <w:kern w:val="0"/>
                <w:sz w:val="21"/>
                <w:szCs w:val="21"/>
                <w:bdr w:val="none" w:color="auto" w:sz="0" w:space="0"/>
                <w:lang w:val="en-US" w:eastAsia="zh-CN" w:bidi="ar"/>
              </w:rPr>
              <w:t>辆</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99407</w:t>
            </w:r>
            <w:r>
              <w:rPr>
                <w:rFonts w:hint="eastAsia" w:ascii="Times New Roman" w:hAnsi="Times New Roman" w:eastAsia="宋体" w:cs="Times New Roman"/>
                <w:color w:val="000000"/>
                <w:kern w:val="0"/>
                <w:sz w:val="21"/>
                <w:szCs w:val="21"/>
                <w:bdr w:val="none" w:color="auto" w:sz="0" w:space="0"/>
                <w:lang w:val="en-US" w:eastAsia="zh-CN" w:bidi="ar"/>
              </w:rPr>
              <w:t>辆</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质量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申请补贴的新能源汽车产品符合国家相关标准比例</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54"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vMerge w:val="continue"/>
            <w:tcBorders>
              <w:top w:val="nil"/>
              <w:left w:val="nil"/>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车辆纳入新能源汽车国家监管平台比例</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vMerge w:val="continue"/>
            <w:tcBorders>
              <w:top w:val="nil"/>
              <w:left w:val="nil"/>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企业申报材料技术参数与新能源汽车推广应用推荐车型目录参数一致性</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kern w:val="2"/>
                <w:sz w:val="21"/>
                <w:szCs w:val="21"/>
                <w:bdr w:val="none" w:color="auto" w:sz="0" w:space="0"/>
                <w:lang w:val="en-US" w:eastAsia="zh-CN" w:bidi="ar"/>
              </w:rPr>
              <w:t>100%</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时效</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资金拨付进度</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按照年度计划</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按照年度计划</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效</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益</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指</w:t>
            </w:r>
            <w:r>
              <w:rPr>
                <w:rFonts w:hint="default" w:ascii="Times New Roman" w:hAnsi="Times New Roman" w:eastAsia="宋体" w:cs="Times New Roman"/>
                <w:kern w:val="0"/>
                <w:sz w:val="21"/>
                <w:szCs w:val="21"/>
                <w:bdr w:val="none" w:color="auto" w:sz="0" w:space="0"/>
                <w:lang w:val="en-US" w:eastAsia="zh-CN" w:bidi="ar"/>
              </w:rPr>
              <w:br w:type="textWrapping"/>
            </w:r>
            <w:r>
              <w:rPr>
                <w:rFonts w:hint="eastAsia" w:ascii="Times New Roman" w:hAnsi="Times New Roman" w:eastAsia="宋体" w:cs="Times New Roman"/>
                <w:kern w:val="0"/>
                <w:sz w:val="21"/>
                <w:szCs w:val="21"/>
                <w:bdr w:val="none" w:color="auto" w:sz="0" w:space="0"/>
                <w:lang w:val="en-US" w:eastAsia="zh-CN" w:bidi="ar"/>
              </w:rPr>
              <w:t>标</w:t>
            </w: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经济效益指标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产业低碳化</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显著提升</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显著提升</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社会效益指标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资源节约</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显著提升</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显著提升</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vMerge w:val="continue"/>
            <w:tcBorders>
              <w:top w:val="nil"/>
              <w:left w:val="single" w:color="auto" w:sz="4" w:space="0"/>
              <w:bottom w:val="single" w:color="auto" w:sz="4" w:space="0"/>
              <w:right w:val="single" w:color="auto" w:sz="4" w:space="0"/>
            </w:tcBorders>
            <w:shd w:val="clear"/>
            <w:vAlign w:val="center"/>
          </w:tcPr>
          <w:p>
            <w:pPr>
              <w:rPr>
                <w:rFonts w:hint="eastAsia" w:ascii="等线" w:hAnsi="等线" w:eastAsia="等线" w:cs="等线"/>
                <w:sz w:val="20"/>
                <w:szCs w:val="20"/>
              </w:rPr>
            </w:pP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生态效益指标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节能减排效果</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有所提升</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有所提升</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jc w:val="center"/>
        </w:trPr>
        <w:tc>
          <w:tcPr>
            <w:tcW w:w="1080" w:type="dxa"/>
            <w:vMerge w:val="continue"/>
            <w:tcBorders>
              <w:top w:val="nil"/>
              <w:left w:val="single" w:color="auto" w:sz="4" w:space="0"/>
              <w:bottom w:val="single" w:color="auto" w:sz="4" w:space="0"/>
              <w:right w:val="single" w:color="auto" w:sz="4" w:space="0"/>
            </w:tcBorders>
            <w:shd w:val="clear"/>
            <w:textDirection w:val="tbRlV"/>
            <w:vAlign w:val="center"/>
          </w:tcPr>
          <w:p>
            <w:pPr>
              <w:rPr>
                <w:rFonts w:hint="eastAsia" w:ascii="等线" w:hAnsi="等线" w:eastAsia="等线" w:cs="等线"/>
                <w:sz w:val="20"/>
                <w:szCs w:val="20"/>
              </w:rPr>
            </w:pPr>
          </w:p>
        </w:tc>
        <w:tc>
          <w:tcPr>
            <w:tcW w:w="79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满意度指标</w:t>
            </w:r>
          </w:p>
        </w:tc>
        <w:tc>
          <w:tcPr>
            <w:tcW w:w="957"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kern w:val="0"/>
                <w:szCs w:val="21"/>
                <w:bdr w:val="none" w:color="auto" w:sz="0" w:space="0"/>
                <w:lang w:val="en-US"/>
              </w:rPr>
            </w:pPr>
            <w:r>
              <w:rPr>
                <w:rFonts w:hint="eastAsia" w:ascii="Times New Roman" w:hAnsi="Times New Roman" w:eastAsia="宋体" w:cs="Times New Roman"/>
                <w:kern w:val="0"/>
                <w:sz w:val="21"/>
                <w:szCs w:val="21"/>
                <w:bdr w:val="none" w:color="auto" w:sz="0" w:space="0"/>
                <w:lang w:val="en-US" w:eastAsia="zh-CN" w:bidi="ar"/>
              </w:rPr>
              <w:t>服务对象满意度指标</w:t>
            </w:r>
          </w:p>
        </w:tc>
        <w:tc>
          <w:tcPr>
            <w:tcW w:w="239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受益企业、群众满意度</w:t>
            </w:r>
          </w:p>
        </w:tc>
        <w:tc>
          <w:tcPr>
            <w:tcW w:w="1282"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≥90%</w:t>
            </w:r>
          </w:p>
        </w:tc>
        <w:tc>
          <w:tcPr>
            <w:tcW w:w="14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default" w:ascii="Times New Roman" w:hAnsi="Times New Roman" w:eastAsia="宋体" w:cs="Times New Roman"/>
                <w:color w:val="000000"/>
                <w:kern w:val="0"/>
                <w:sz w:val="21"/>
                <w:szCs w:val="21"/>
                <w:bdr w:val="none" w:color="auto" w:sz="0" w:space="0"/>
                <w:lang w:val="en-US" w:eastAsia="zh-CN" w:bidi="ar"/>
              </w:rPr>
              <w:t>95%</w:t>
            </w:r>
            <w:r>
              <w:rPr>
                <w:rFonts w:hint="eastAsia" w:ascii="Times New Roman" w:hAnsi="Times New Roman" w:eastAsia="宋体" w:cs="Times New Roman"/>
                <w:color w:val="000000"/>
                <w:kern w:val="0"/>
                <w:sz w:val="21"/>
                <w:szCs w:val="21"/>
                <w:bdr w:val="none" w:color="auto" w:sz="0" w:space="0"/>
                <w:lang w:val="en-US" w:eastAsia="zh-CN" w:bidi="ar"/>
              </w:rPr>
              <w:t>以上</w:t>
            </w:r>
          </w:p>
        </w:tc>
        <w:tc>
          <w:tcPr>
            <w:tcW w:w="147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宋体" w:cs="Times New Roman"/>
                <w:color w:val="000000"/>
                <w:kern w:val="0"/>
                <w:szCs w:val="21"/>
                <w:bdr w:val="none" w:color="auto" w:sz="0" w:space="0"/>
                <w:lang w:val="en-US"/>
              </w:rPr>
            </w:pPr>
            <w:r>
              <w:rPr>
                <w:rFonts w:hint="eastAsia" w:ascii="Times New Roman" w:hAnsi="Times New Roman" w:eastAsia="宋体" w:cs="Times New Roman"/>
                <w:color w:val="000000"/>
                <w:kern w:val="0"/>
                <w:sz w:val="21"/>
                <w:szCs w:val="21"/>
                <w:bdr w:val="none" w:color="auto" w:sz="0" w:space="0"/>
                <w:lang w:val="en-US" w:eastAsia="zh-CN" w:bidi="ar"/>
              </w:rPr>
              <w:t>已完成指标</w:t>
            </w:r>
          </w:p>
        </w:tc>
      </w:tr>
    </w:tbl>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variable"/>
    <w:sig w:usb0="A00002BF" w:usb1="38CF7CFA" w:usb2="00000016" w:usb3="00000000" w:csb0="0004000F" w:csb1="00000000"/>
  </w:font>
  <w:font w:name="@宋体">
    <w:panose1 w:val="02010600030101010101"/>
    <w:charset w:val="86"/>
    <w:family w:val="auto"/>
    <w:pitch w:val="variable"/>
    <w:sig w:usb0="0000000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F79E9"/>
    <w:rsid w:val="33BF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2021-04-07T01:10:00Z</dcterms:created>
  <dc:creator>唐亮</dc:creator>
  <cp:lastModifiedBy>唐亮</cp:lastModifiedBy>
  <dcterms:modified xsi:type="dcterms:W3CDTF">2021-04-07T01:10:42Z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