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rPr>
        <w:t>湖南省经信委信息中心</w:t>
      </w:r>
    </w:p>
    <w:p>
      <w:pPr>
        <w:pStyle w:val="9"/>
        <w:jc w:val="center"/>
        <w:rPr>
          <w:sz w:val="84"/>
          <w:szCs w:val="84"/>
        </w:rPr>
      </w:pPr>
      <w:r>
        <w:rPr>
          <w:rFonts w:hint="eastAsia"/>
          <w:sz w:val="84"/>
          <w:szCs w:val="84"/>
        </w:rPr>
        <w:t>部门决算</w:t>
      </w:r>
    </w:p>
    <w:p>
      <w:pPr>
        <w:pStyle w:val="9"/>
        <w:jc w:val="center"/>
        <w:rPr>
          <w:sz w:val="72"/>
          <w:szCs w:val="72"/>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　湖南省经信委信息中心概况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　</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　</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湖南省经信委信息中心</w:t>
      </w:r>
    </w:p>
    <w:p>
      <w:pPr>
        <w:pStyle w:val="9"/>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566" w:firstLineChars="177"/>
        <w:rPr>
          <w:rFonts w:asciiTheme="minorEastAsia" w:hAnsiTheme="minorEastAsia"/>
          <w:bCs/>
          <w:kern w:val="0"/>
          <w:sz w:val="32"/>
          <w:szCs w:val="32"/>
        </w:rPr>
      </w:pPr>
      <w:r>
        <w:rPr>
          <w:rFonts w:hint="eastAsia" w:asciiTheme="minorEastAsia" w:hAnsiTheme="minorEastAsia"/>
          <w:bCs/>
          <w:kern w:val="0"/>
          <w:sz w:val="32"/>
          <w:szCs w:val="32"/>
        </w:rPr>
        <w:t>省经信委信息中心负责厅机关政务信息化建设和信息系统的运维管理。承担厅机关门户网站、“湖南工信”微信公众号的建设与运维管理工作；承担厅机关网络基础设施、办公终端及辅助设备等的运维管理工作；承担厅机关网络安全、计算机保密技术支持与管理工作；承担厅机关软件正版化管理工作；承担“工信部视频会议专线”、省委、省政府“党政专线”等的技术保障工作；承担厅机关“互联网+政务服务”、“互联网+监管”等的技术支持工作；承担厅机关重大活动、重要会议的图片信息采编工作；完成领导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566" w:firstLineChars="177"/>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snapToGrid w:val="0"/>
        <w:spacing w:line="52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省经信委信息中心内设综合科和技术科两个内设机构。根据省工业和信息化厅工作安排，实行两块牌子一套人马，合署办公，与省信息技术培训中心统称信息中心。省信息技术培训中心人员经费不足部分，从省经信委信息中心调剂开支。</w:t>
      </w:r>
    </w:p>
    <w:p>
      <w:pPr>
        <w:widowControl/>
        <w:spacing w:line="600" w:lineRule="exact"/>
        <w:ind w:firstLine="566" w:firstLineChars="177"/>
        <w:rPr>
          <w:rFonts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640" w:firstLineChars="200"/>
        <w:rPr>
          <w:rFonts w:asciiTheme="minorEastAsia" w:hAnsiTheme="minorEastAsia"/>
          <w:bCs/>
          <w:kern w:val="0"/>
          <w:sz w:val="32"/>
          <w:szCs w:val="32"/>
        </w:rPr>
      </w:pPr>
      <w:r>
        <w:rPr>
          <w:rFonts w:hint="eastAsia" w:ascii="宋体" w:hAnsi="宋体" w:eastAsia="宋体" w:cs="宋体"/>
          <w:sz w:val="32"/>
          <w:szCs w:val="32"/>
        </w:rPr>
        <w:t>2021年部门决算公开单位构成即</w:t>
      </w:r>
      <w:r>
        <w:rPr>
          <w:rFonts w:hint="eastAsia" w:asciiTheme="minorEastAsia" w:hAnsiTheme="minorEastAsia"/>
          <w:bCs/>
          <w:kern w:val="0"/>
          <w:sz w:val="32"/>
          <w:szCs w:val="32"/>
        </w:rPr>
        <w:t>湖南省经信委信息中心</w:t>
      </w:r>
      <w:r>
        <w:rPr>
          <w:rFonts w:hint="eastAsia" w:asciiTheme="minorEastAsia" w:hAnsiTheme="minorEastAsia"/>
          <w:bCs/>
          <w:kern w:val="0"/>
          <w:sz w:val="32"/>
          <w:szCs w:val="32"/>
          <w:lang w:val="en-US" w:eastAsia="zh-CN"/>
        </w:rPr>
        <w:t>1家</w:t>
      </w:r>
      <w:r>
        <w:rPr>
          <w:rFonts w:hint="eastAsia" w:asciiTheme="minorEastAsia" w:hAnsiTheme="minorEastAsia"/>
          <w:bCs/>
          <w:kern w:val="0"/>
          <w:sz w:val="32"/>
          <w:szCs w:val="32"/>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部门：湖南省经信委信息中心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245.85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kern w:val="0"/>
                <w:sz w:val="22"/>
              </w:rPr>
              <w:t>14.43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kern w:val="0"/>
                <w:sz w:val="22"/>
              </w:rPr>
              <w:t>22.95</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189.68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18.80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245.85</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kern w:val="0"/>
                <w:sz w:val="22"/>
              </w:rPr>
              <w:t>245.85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　245.85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b/>
                <w:bCs/>
                <w:kern w:val="0"/>
                <w:sz w:val="22"/>
              </w:rPr>
              <w:t>245.85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769"/>
        <w:gridCol w:w="1076"/>
        <w:gridCol w:w="5395"/>
        <w:gridCol w:w="1234"/>
        <w:gridCol w:w="1266"/>
        <w:gridCol w:w="1000"/>
        <w:gridCol w:w="1084"/>
        <w:gridCol w:w="1233"/>
        <w:gridCol w:w="1200"/>
        <w:gridCol w:w="117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s="宋体"/>
                <w:color w:val="000000"/>
                <w:kern w:val="0"/>
                <w:sz w:val="32"/>
                <w:szCs w:val="32"/>
              </w:rPr>
              <w:t>收入决算表</w:t>
            </w:r>
          </w:p>
        </w:tc>
      </w:tr>
      <w:tr>
        <w:tblPrEx>
          <w:tblCellMar>
            <w:top w:w="0" w:type="dxa"/>
            <w:left w:w="0" w:type="dxa"/>
            <w:bottom w:w="0" w:type="dxa"/>
            <w:right w:w="0" w:type="dxa"/>
          </w:tblCellMar>
        </w:tblPrEx>
        <w:trPr>
          <w:trHeight w:val="285" w:hRule="atLeast"/>
        </w:trPr>
        <w:tc>
          <w:tcPr>
            <w:tcW w:w="7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3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474"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部门：湖南省经信委信息中心</w:t>
            </w:r>
          </w:p>
        </w:tc>
        <w:tc>
          <w:tcPr>
            <w:tcW w:w="12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724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2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2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0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1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84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539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39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2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2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0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1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72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sz w:val="24"/>
                <w:szCs w:val="24"/>
              </w:rPr>
            </w:pPr>
            <w:r>
              <w:rPr>
                <w:rFonts w:hint="eastAsia" w:ascii="宋体" w:hAnsi="宋体" w:eastAsia="宋体" w:cs="宋体"/>
                <w:b/>
                <w:bCs/>
                <w:sz w:val="24"/>
                <w:szCs w:val="24"/>
              </w:rPr>
              <w:t>245.85</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sz w:val="24"/>
                <w:szCs w:val="24"/>
              </w:rPr>
              <w:t>245.85</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社会保障和就业支出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20805</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行政事业单位养老支出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20899</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其他社会保障和就业支出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2089999</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其他社会保障和就业支出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卫生健康支出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2101102</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事业单位医疗</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2101103</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10.76</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10.76</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215</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资源勘探工业信息等支出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21505</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工业和信息产业监管</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2150550</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事业运行</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住房保障支出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18.80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18.80</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22102</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住房改革支出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18.44</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18.44</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22103</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城乡社区住宅</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0" w:type="dxa"/>
            <w:bottom w:w="0" w:type="dxa"/>
            <w:right w:w="0" w:type="dxa"/>
          </w:tblCellMar>
        </w:tblPrEx>
        <w:trPr>
          <w:trHeight w:val="450" w:hRule="atLeast"/>
        </w:trPr>
        <w:tc>
          <w:tcPr>
            <w:tcW w:w="18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2210399</w:t>
            </w:r>
          </w:p>
        </w:tc>
        <w:tc>
          <w:tcPr>
            <w:tcW w:w="5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其他城乡社区住宅支出</w:t>
            </w:r>
          </w:p>
        </w:tc>
        <w:tc>
          <w:tcPr>
            <w:tcW w:w="12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1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290" w:type="dxa"/>
        <w:tblInd w:w="93" w:type="dxa"/>
        <w:tblLayout w:type="fixed"/>
        <w:tblCellMar>
          <w:top w:w="0" w:type="dxa"/>
          <w:left w:w="108" w:type="dxa"/>
          <w:bottom w:w="0" w:type="dxa"/>
          <w:right w:w="108" w:type="dxa"/>
        </w:tblCellMar>
      </w:tblPr>
      <w:tblGrid>
        <w:gridCol w:w="1040"/>
        <w:gridCol w:w="236"/>
        <w:gridCol w:w="4295"/>
        <w:gridCol w:w="1765"/>
        <w:gridCol w:w="1441"/>
        <w:gridCol w:w="1383"/>
        <w:gridCol w:w="1411"/>
        <w:gridCol w:w="1265"/>
        <w:gridCol w:w="1454"/>
      </w:tblGrid>
      <w:tr>
        <w:tblPrEx>
          <w:tblCellMar>
            <w:top w:w="0" w:type="dxa"/>
            <w:left w:w="108" w:type="dxa"/>
            <w:bottom w:w="0" w:type="dxa"/>
            <w:right w:w="108" w:type="dxa"/>
          </w:tblCellMar>
        </w:tblPrEx>
        <w:trPr>
          <w:trHeight w:val="435" w:hRule="atLeast"/>
        </w:trPr>
        <w:tc>
          <w:tcPr>
            <w:tcW w:w="1429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733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部门：湖南省经信委信息中心</w:t>
            </w:r>
          </w:p>
        </w:tc>
        <w:tc>
          <w:tcPr>
            <w:tcW w:w="144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4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29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4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4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4"/>
                <w:szCs w:val="24"/>
              </w:rPr>
            </w:pPr>
            <w:r>
              <w:rPr>
                <w:rFonts w:hint="eastAsia" w:ascii="宋体" w:hAnsi="宋体" w:eastAsia="宋体" w:cs="宋体"/>
                <w:b/>
                <w:bCs/>
                <w:sz w:val="24"/>
                <w:szCs w:val="24"/>
              </w:rPr>
              <w:t>245.85</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4"/>
                <w:szCs w:val="24"/>
              </w:rPr>
            </w:pPr>
            <w:r>
              <w:rPr>
                <w:rFonts w:hint="eastAsia" w:ascii="宋体" w:hAnsi="宋体" w:eastAsia="宋体" w:cs="宋体"/>
                <w:b/>
                <w:bCs/>
                <w:sz w:val="24"/>
                <w:szCs w:val="24"/>
              </w:rPr>
              <w:t>245.85</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4"/>
                <w:szCs w:val="24"/>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社会保障和就业支出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20805</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行政事业单位养老支出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20899</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其他社会保障和就业支出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2089999</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其他社会保障和就业支出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卫生健康支出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2101102</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事业单位医疗</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12.2</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12.2</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2101103</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公务员医疗补助</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10.76</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10.76</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215</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资源勘探工业信息等支出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189.68</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189.68</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21505</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工业和信息产业监管</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189.68</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189.68</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2150550</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事业运行</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189.68</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189.68</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221</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住房保障支出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18.80</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18.80</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22102</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住房改革支出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18.44</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18.44</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22103</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城乡社区住宅</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w:t>
            </w:r>
          </w:p>
        </w:tc>
      </w:tr>
      <w:tr>
        <w:tblPrEx>
          <w:tblCellMar>
            <w:top w:w="0" w:type="dxa"/>
            <w:left w:w="108" w:type="dxa"/>
            <w:bottom w:w="0" w:type="dxa"/>
            <w:right w:w="108" w:type="dxa"/>
          </w:tblCellMar>
        </w:tblPrEx>
        <w:trPr>
          <w:trHeight w:val="450" w:hRule="atLeas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2210399</w:t>
            </w:r>
          </w:p>
        </w:tc>
        <w:tc>
          <w:tcPr>
            <w:tcW w:w="4295"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其他城乡社区住宅支出</w:t>
            </w:r>
          </w:p>
        </w:tc>
        <w:tc>
          <w:tcPr>
            <w:tcW w:w="17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144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138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1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630" w:hRule="atLeast"/>
        </w:trPr>
        <w:tc>
          <w:tcPr>
            <w:tcW w:w="1429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562"/>
        <w:gridCol w:w="433"/>
        <w:gridCol w:w="1412"/>
        <w:gridCol w:w="3173"/>
        <w:gridCol w:w="626"/>
        <w:gridCol w:w="433"/>
        <w:gridCol w:w="1559"/>
        <w:gridCol w:w="1382"/>
        <w:gridCol w:w="1382"/>
        <w:gridCol w:w="1559"/>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9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6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部门：湖南省经信委信息中心</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9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4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14"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一、一般公共预算财政拨款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245.85</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一、一般公共服务支出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33</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二、政府性基金预算财政拨款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二、外交支出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34</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三、国有资本经营财政拨款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三、国防支出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35</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四、公共安全支出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36</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五、教育支出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37</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六、科学技术支出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38</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7</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七、文化旅游体育与传媒支出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39</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8</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八、社会保障和就业支出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14.43</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14.43</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9</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九、卫生健康支出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41</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十、节能环保支出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42</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11</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十一、城乡社区支出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43</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12</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十二、农林水支出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44</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13</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十三、交通运输支出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45</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十四、资源勘探工业信息等支出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46</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15</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十五、商业服务业等支出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47</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十六、金融支出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48</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17</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十七、援助其他地区支出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49</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18</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十八、自然资源海洋气象等支出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19</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十九、住房保障支出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51</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二十、粮油物资储备支出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52</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21</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二十一、国有资本经营预算支出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53</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487.00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22</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二十二、灾害防治及应急管理支出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54</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23</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二十三、其他支出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55</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二十四、债务还本支出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56</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25</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二十五、债务付息支出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57</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二十六、抗疫特别国债安排的支出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58</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本年收入合计</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27</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317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本年支出合计</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59</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487.00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年初财政拨款结转和结余</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28</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年末财政拨款结转和结余</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 xml:space="preserve">  一般公共预算财政拨款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29</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61</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 xml:space="preserve">  政府性基金预算财政拨款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62</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0"/>
                <w:szCs w:val="20"/>
              </w:rPr>
              <w:t xml:space="preserve">  国有资本经营预算财政拨款</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31</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7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63</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62" w:type="dxa"/>
            <w:tcBorders>
              <w:top w:val="nil"/>
              <w:left w:val="single" w:color="auto" w:sz="4" w:space="0"/>
              <w:bottom w:val="single" w:color="auto" w:sz="4" w:space="0"/>
              <w:right w:val="single" w:color="auto" w:sz="4" w:space="0"/>
            </w:tcBorders>
            <w:shd w:val="clear" w:color="000000" w:fill="FFFFFF"/>
            <w:noWrap/>
            <w:vAlign w:val="center"/>
          </w:tcPr>
          <w:p>
            <w:pPr>
              <w:widowControl/>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总计</w:t>
            </w:r>
          </w:p>
        </w:tc>
        <w:tc>
          <w:tcPr>
            <w:tcW w:w="433"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32</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3173" w:type="dxa"/>
            <w:tcBorders>
              <w:top w:val="nil"/>
              <w:left w:val="nil"/>
              <w:bottom w:val="single" w:color="auto" w:sz="4" w:space="0"/>
              <w:right w:val="single" w:color="auto" w:sz="4" w:space="0"/>
            </w:tcBorders>
            <w:shd w:val="clear" w:color="000000" w:fill="FFFFFF"/>
            <w:noWrap/>
            <w:vAlign w:val="center"/>
          </w:tcPr>
          <w:p>
            <w:pPr>
              <w:widowControl/>
              <w:textAlignment w:val="center"/>
              <w:rPr>
                <w:rFonts w:ascii="宋体" w:hAnsi="宋体" w:eastAsia="宋体" w:cs="宋体"/>
                <w:b/>
                <w:bCs/>
                <w:kern w:val="0"/>
                <w:sz w:val="22"/>
              </w:rPr>
            </w:pPr>
            <w:r>
              <w:rPr>
                <w:rFonts w:hint="eastAsia" w:ascii="宋体" w:hAnsi="宋体" w:eastAsia="宋体" w:cs="宋体"/>
                <w:b/>
                <w:bCs/>
                <w:color w:val="000000"/>
                <w:kern w:val="0"/>
                <w:sz w:val="20"/>
                <w:szCs w:val="20"/>
              </w:rPr>
              <w:t>总计</w:t>
            </w:r>
          </w:p>
        </w:tc>
        <w:tc>
          <w:tcPr>
            <w:tcW w:w="1059"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rPr>
              <w:t>64</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1382"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245.85</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0"/>
                <w:szCs w:val="20"/>
              </w:rPr>
              <w:t>487.00</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一般公共预算财政拨款支出决算表</w:t>
      </w:r>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湖南省经信委信息中心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w:t>
      </w:r>
      <w:r>
        <w:rPr>
          <w:rFonts w:ascii="Times New Roman" w:hAnsi="Times New Roman" w:eastAsia="仿宋_GB2312" w:cs="Times New Roman"/>
          <w:color w:val="000000"/>
          <w:kern w:val="0"/>
          <w:szCs w:val="21"/>
        </w:rPr>
        <w:t>单位：万元</w:t>
      </w:r>
    </w:p>
    <w:tbl>
      <w:tblPr>
        <w:tblStyle w:val="5"/>
        <w:tblW w:w="14783" w:type="dxa"/>
        <w:jc w:val="center"/>
        <w:tblLayout w:type="autofit"/>
        <w:tblCellMar>
          <w:top w:w="0" w:type="dxa"/>
          <w:left w:w="108" w:type="dxa"/>
          <w:bottom w:w="0" w:type="dxa"/>
          <w:right w:w="108" w:type="dxa"/>
        </w:tblCellMar>
      </w:tblPr>
      <w:tblGrid>
        <w:gridCol w:w="1279"/>
        <w:gridCol w:w="4288"/>
        <w:gridCol w:w="2724"/>
        <w:gridCol w:w="3492"/>
        <w:gridCol w:w="3000"/>
      </w:tblGrid>
      <w:tr>
        <w:tblPrEx>
          <w:tblCellMar>
            <w:top w:w="0" w:type="dxa"/>
            <w:left w:w="108" w:type="dxa"/>
            <w:bottom w:w="0" w:type="dxa"/>
            <w:right w:w="108" w:type="dxa"/>
          </w:tblCellMar>
        </w:tblPrEx>
        <w:trPr>
          <w:trHeight w:val="405" w:hRule="atLeast"/>
          <w:jc w:val="center"/>
        </w:trPr>
        <w:tc>
          <w:tcPr>
            <w:tcW w:w="556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7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2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7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8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7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8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56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56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245.85</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245.85</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208</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社会保障和就业支出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14.43</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20805</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行政事业单位养老支出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11.43</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2080505</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机关事业单位基本养老保险缴费支出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11.43</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20899</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其他社会保障和就业支出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2089999</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其他社会保障和就业支出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210</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卫生健康支出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21011</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行政事业单位医疗</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22.95</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2101102</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事业单位医疗</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2101103</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公务员医疗补助</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10.76</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215</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资源勘探工业信息等支出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21505</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工业和信息产业监管</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189.68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2150550</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事业运行</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189.68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221</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住房保障支出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18.80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18.80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22102</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住房改革支出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18.44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18.44</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住房公积金</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18.44</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22103</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 w:val="22"/>
              </w:rPr>
              <w:t>城乡社区住宅</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0.36</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7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2210399</w:t>
            </w:r>
          </w:p>
        </w:tc>
        <w:tc>
          <w:tcPr>
            <w:tcW w:w="42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其他城乡社区住宅支出</w:t>
            </w:r>
          </w:p>
        </w:tc>
        <w:tc>
          <w:tcPr>
            <w:tcW w:w="27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0.36</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645" w:hRule="atLeast"/>
          <w:jc w:val="center"/>
        </w:trPr>
        <w:tc>
          <w:tcPr>
            <w:tcW w:w="14783"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287"/>
        <w:gridCol w:w="3225"/>
        <w:gridCol w:w="1196"/>
        <w:gridCol w:w="741"/>
        <w:gridCol w:w="2223"/>
        <w:gridCol w:w="1087"/>
        <w:gridCol w:w="741"/>
        <w:gridCol w:w="4027"/>
        <w:gridCol w:w="1087"/>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6"/>
                <w:szCs w:val="36"/>
              </w:rPr>
            </w:pPr>
            <w:bookmarkStart w:id="2" w:name="RANGE!A1:I34"/>
            <w:r>
              <w:rPr>
                <w:rFonts w:hint="eastAsia" w:ascii="华文中宋" w:hAnsi="华文中宋" w:eastAsia="华文中宋" w:cs="宋体"/>
                <w:color w:val="000000"/>
                <w:kern w:val="0"/>
                <w:sz w:val="32"/>
                <w:szCs w:val="32"/>
              </w:rPr>
              <w:t>一般公共预算财政拨款基本支出决算明细表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湖南省经信委信息中心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201.46</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43.89</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49.02</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1.29</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17.32</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26.46</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5.48</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46.11</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13.53</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5.24</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11.38</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10.24</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3.33</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0.55</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18.44</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16.17</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0.16</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0.50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0.03</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0.50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0.67</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6.55</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10.74</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0.58</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2.07</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5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9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201.97</w:t>
            </w:r>
          </w:p>
        </w:tc>
        <w:tc>
          <w:tcPr>
            <w:tcW w:w="881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8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18"/>
              </w:rPr>
            </w:pPr>
            <w:r>
              <w:rPr>
                <w:rFonts w:hint="eastAsia" w:ascii="宋体" w:hAnsi="宋体" w:eastAsia="宋体" w:cs="宋体"/>
                <w:color w:val="000000"/>
                <w:kern w:val="0"/>
                <w:szCs w:val="18"/>
              </w:rPr>
              <w:t>43.89</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bookmarkEnd w:id="2"/>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华文中宋" w:hAnsi="华文中宋" w:eastAsia="华文中宋" w:cs="宋体"/>
          <w:color w:val="000000"/>
          <w:kern w:val="0"/>
          <w:sz w:val="32"/>
          <w:szCs w:val="32"/>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湖南省经信委信息中心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nil"/>
              <w:bottom w:val="single" w:color="auto" w:sz="8" w:space="0"/>
              <w:right w:val="nil"/>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w:t>
            </w:r>
          </w:p>
        </w:tc>
      </w:tr>
    </w:tbl>
    <w:p>
      <w:pPr>
        <w:widowControl/>
        <w:jc w:val="left"/>
        <w:rPr>
          <w:rFonts w:ascii="宋体" w:eastAsia="宋体" w:cs="宋体"/>
          <w:kern w:val="0"/>
          <w:sz w:val="24"/>
          <w:szCs w:val="24"/>
        </w:rPr>
      </w:pPr>
      <w:r>
        <w:rPr>
          <w:rFonts w:hint="eastAsia" w:ascii="Times New Roman" w:hAnsi="Times New Roman" w:eastAsia="仿宋_GB2312" w:cs="Times New Roman"/>
          <w:kern w:val="0"/>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湖南省经信委信息中心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1" w:firstLineChars="200"/>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color w:val="000000"/>
          <w:kern w:val="0"/>
          <w:szCs w:val="21"/>
        </w:rPr>
        <w:t>湖南省经信委信息中心</w:t>
      </w:r>
      <w:r>
        <w:rPr>
          <w:rFonts w:hint="eastAsia" w:ascii="Times New Roman" w:hAnsi="Times New Roman" w:eastAsia="仿宋_GB2312" w:cs="Times New Roman"/>
          <w:b/>
          <w:bCs/>
          <w:kern w:val="0"/>
          <w:szCs w:val="21"/>
        </w:rPr>
        <w:t>没有政府性基金收入，也没有使用政府性基金安排的支出，故本表无数据</w:t>
      </w:r>
      <w:r>
        <w:rPr>
          <w:rFonts w:ascii="Times New Roman" w:hAnsi="Times New Roman" w:eastAsia="仿宋_GB2312" w:cs="Times New Roman"/>
          <w:b/>
          <w:bCs/>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200"/>
        <w:gridCol w:w="420"/>
        <w:gridCol w:w="3215"/>
        <w:gridCol w:w="1225"/>
        <w:gridCol w:w="149"/>
        <w:gridCol w:w="2102"/>
        <w:gridCol w:w="369"/>
        <w:gridCol w:w="1587"/>
        <w:gridCol w:w="1325"/>
        <w:gridCol w:w="1273"/>
        <w:gridCol w:w="1325"/>
      </w:tblGrid>
      <w:tr>
        <w:tblPrEx>
          <w:tblCellMar>
            <w:top w:w="0" w:type="dxa"/>
            <w:left w:w="108" w:type="dxa"/>
            <w:bottom w:w="0" w:type="dxa"/>
            <w:right w:w="108" w:type="dxa"/>
          </w:tblCellMar>
        </w:tblPrEx>
        <w:trPr>
          <w:trHeight w:val="720" w:hRule="atLeast"/>
        </w:trPr>
        <w:tc>
          <w:tcPr>
            <w:tcW w:w="14190" w:type="dxa"/>
            <w:gridSpan w:val="11"/>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color w:val="000000"/>
                <w:kern w:val="0"/>
                <w:sz w:val="32"/>
                <w:szCs w:val="32"/>
              </w:rPr>
              <w:t>国有资本经营预算财政拨款收入支出决算表</w:t>
            </w:r>
          </w:p>
        </w:tc>
      </w:tr>
      <w:tr>
        <w:tblPrEx>
          <w:tblCellMar>
            <w:top w:w="0" w:type="dxa"/>
            <w:left w:w="108" w:type="dxa"/>
            <w:bottom w:w="0" w:type="dxa"/>
            <w:right w:w="108" w:type="dxa"/>
          </w:tblCellMar>
        </w:tblPrEx>
        <w:trPr>
          <w:trHeight w:val="285" w:hRule="atLeast"/>
        </w:trPr>
        <w:tc>
          <w:tcPr>
            <w:tcW w:w="1200" w:type="dxa"/>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20" w:type="dxa"/>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15" w:type="dxa"/>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5" w:type="dxa"/>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620" w:type="dxa"/>
            <w:gridSpan w:val="3"/>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5510" w:type="dxa"/>
            <w:gridSpan w:val="4"/>
            <w:tcBorders>
              <w:top w:val="nil"/>
              <w:left w:val="nil"/>
              <w:bottom w:val="nil"/>
              <w:right w:val="nil"/>
            </w:tcBorders>
            <w:shd w:val="clear" w:color="000000" w:fill="FFFFFF"/>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1200" w:type="dxa"/>
            <w:tcBorders>
              <w:top w:val="nil"/>
              <w:left w:val="nil"/>
              <w:bottom w:val="nil"/>
              <w:right w:val="nil"/>
            </w:tcBorders>
            <w:shd w:val="clear" w:color="000000" w:fill="FFFFFF"/>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部门：</w:t>
            </w:r>
          </w:p>
        </w:tc>
        <w:tc>
          <w:tcPr>
            <w:tcW w:w="420" w:type="dxa"/>
            <w:tcBorders>
              <w:top w:val="nil"/>
              <w:left w:val="nil"/>
              <w:bottom w:val="nil"/>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15" w:type="dxa"/>
            <w:tcBorders>
              <w:top w:val="nil"/>
              <w:left w:val="nil"/>
              <w:bottom w:val="nil"/>
              <w:right w:val="nil"/>
            </w:tcBorders>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Cs w:val="21"/>
              </w:rPr>
              <w:t>湖南省经信委信息中心</w:t>
            </w:r>
            <w:r>
              <w:rPr>
                <w:rFonts w:hint="eastAsia" w:ascii="Times New Roman" w:hAnsi="Times New Roman" w:eastAsia="仿宋_GB2312" w:cs="Times New Roman"/>
                <w:kern w:val="0"/>
                <w:szCs w:val="21"/>
              </w:rPr>
              <w:t>　</w:t>
            </w:r>
          </w:p>
        </w:tc>
        <w:tc>
          <w:tcPr>
            <w:tcW w:w="1225" w:type="dxa"/>
            <w:tcBorders>
              <w:top w:val="nil"/>
              <w:left w:val="nil"/>
              <w:bottom w:val="single" w:color="auto" w:sz="8" w:space="0"/>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620" w:type="dxa"/>
            <w:gridSpan w:val="3"/>
            <w:tcBorders>
              <w:top w:val="nil"/>
              <w:left w:val="nil"/>
              <w:bottom w:val="single" w:color="auto" w:sz="8" w:space="0"/>
              <w:right w:val="nil"/>
            </w:tcBorders>
            <w:shd w:val="clear" w:color="000000" w:fill="FFFFFF"/>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5510" w:type="dxa"/>
            <w:gridSpan w:val="4"/>
            <w:tcBorders>
              <w:top w:val="nil"/>
              <w:left w:val="nil"/>
              <w:bottom w:val="nil"/>
              <w:right w:val="nil"/>
            </w:tcBorders>
            <w:shd w:val="clear" w:color="000000" w:fill="FFFFFF"/>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120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科目编码</w:t>
            </w:r>
          </w:p>
        </w:tc>
        <w:tc>
          <w:tcPr>
            <w:tcW w:w="3635"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科目名称</w:t>
            </w:r>
          </w:p>
        </w:tc>
        <w:tc>
          <w:tcPr>
            <w:tcW w:w="1374"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2102"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本年收入</w:t>
            </w:r>
          </w:p>
        </w:tc>
        <w:tc>
          <w:tcPr>
            <w:tcW w:w="1956" w:type="dxa"/>
            <w:gridSpan w:val="2"/>
            <w:vMerge w:val="restart"/>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本年支出</w:t>
            </w:r>
          </w:p>
        </w:tc>
        <w:tc>
          <w:tcPr>
            <w:tcW w:w="3923" w:type="dxa"/>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r>
      <w:tr>
        <w:tblPrEx>
          <w:tblCellMar>
            <w:top w:w="0" w:type="dxa"/>
            <w:left w:w="108" w:type="dxa"/>
            <w:bottom w:w="0" w:type="dxa"/>
            <w:right w:w="108" w:type="dxa"/>
          </w:tblCellMar>
        </w:tblPrEx>
        <w:trPr>
          <w:trHeight w:val="402" w:hRule="atLeast"/>
        </w:trPr>
        <w:tc>
          <w:tcPr>
            <w:tcW w:w="12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127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结转</w:t>
            </w:r>
          </w:p>
        </w:tc>
        <w:tc>
          <w:tcPr>
            <w:tcW w:w="132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w:t>
            </w: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　次</w:t>
            </w:r>
          </w:p>
        </w:tc>
        <w:tc>
          <w:tcPr>
            <w:tcW w:w="1374"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210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1956" w:type="dxa"/>
            <w:gridSpan w:val="2"/>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1325"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7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325"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　计</w:t>
            </w:r>
          </w:p>
        </w:tc>
        <w:tc>
          <w:tcPr>
            <w:tcW w:w="1374"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10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956" w:type="dxa"/>
            <w:gridSpan w:val="2"/>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325"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7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325"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63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nil"/>
              <w:left w:val="single" w:color="auto" w:sz="8" w:space="0"/>
              <w:bottom w:val="single" w:color="auto" w:sz="4" w:space="0"/>
              <w:right w:val="single" w:color="000000"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63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374"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635"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37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2"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635"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74"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10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956"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73"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25"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720" w:hRule="atLeast"/>
        </w:trPr>
        <w:tc>
          <w:tcPr>
            <w:tcW w:w="14190" w:type="dxa"/>
            <w:gridSpan w:val="11"/>
            <w:tcBorders>
              <w:top w:val="single" w:color="auto" w:sz="8" w:space="0"/>
              <w:left w:val="nil"/>
              <w:bottom w:val="nil"/>
              <w:right w:val="nil"/>
            </w:tcBorders>
            <w:shd w:val="clear" w:color="auto" w:fill="auto"/>
            <w:vAlign w:val="center"/>
          </w:tcPr>
          <w:p>
            <w:pPr>
              <w:widowControl/>
              <w:ind w:firstLine="420" w:firstLineChars="20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ind w:firstLine="843" w:firstLineChars="400"/>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color w:val="000000"/>
                <w:kern w:val="0"/>
                <w:szCs w:val="21"/>
              </w:rPr>
              <w:t>湖南省经信委信息中心</w:t>
            </w:r>
            <w:r>
              <w:rPr>
                <w:rFonts w:hint="eastAsia" w:ascii="Times New Roman" w:hAnsi="Times New Roman" w:eastAsia="仿宋_GB2312" w:cs="Times New Roman"/>
                <w:b/>
                <w:bCs/>
                <w:kern w:val="0"/>
                <w:szCs w:val="21"/>
              </w:rPr>
              <w:t>没有</w:t>
            </w:r>
            <w:r>
              <w:rPr>
                <w:rFonts w:hint="eastAsia" w:ascii="Times New Roman" w:hAnsi="Times New Roman" w:eastAsia="仿宋_GB2312" w:cs="Times New Roman"/>
                <w:b/>
                <w:bCs/>
                <w:color w:val="000000"/>
                <w:kern w:val="0"/>
                <w:szCs w:val="21"/>
              </w:rPr>
              <w:t>国有资本经营预算财政拨款收入</w:t>
            </w:r>
            <w:r>
              <w:rPr>
                <w:rFonts w:hint="eastAsia" w:ascii="Times New Roman" w:hAnsi="Times New Roman" w:eastAsia="仿宋_GB2312" w:cs="Times New Roman"/>
                <w:b/>
                <w:bCs/>
                <w:color w:val="000000"/>
                <w:kern w:val="0"/>
                <w:szCs w:val="21"/>
                <w:lang w:eastAsia="zh-CN"/>
              </w:rPr>
              <w:t>和</w:t>
            </w:r>
            <w:r>
              <w:rPr>
                <w:rFonts w:hint="eastAsia" w:ascii="Times New Roman" w:hAnsi="Times New Roman" w:eastAsia="仿宋_GB2312" w:cs="Times New Roman"/>
                <w:b/>
                <w:bCs/>
                <w:kern w:val="0"/>
                <w:szCs w:val="21"/>
              </w:rPr>
              <w:t>支出，故本表无数据</w:t>
            </w:r>
            <w:r>
              <w:rPr>
                <w:rFonts w:ascii="Times New Roman" w:hAnsi="Times New Roman" w:eastAsia="仿宋_GB2312" w:cs="Times New Roman"/>
                <w:b/>
                <w:bCs/>
                <w:kern w:val="0"/>
                <w:szCs w:val="21"/>
              </w:rPr>
              <w:t>。</w:t>
            </w:r>
          </w:p>
          <w:p>
            <w:pPr>
              <w:widowControl/>
              <w:jc w:val="left"/>
              <w:rPr>
                <w:rFonts w:ascii="Times New Roman" w:hAnsi="Times New Roman" w:eastAsia="仿宋_GB2312" w:cs="Times New Roman"/>
                <w:kern w:val="0"/>
                <w:szCs w:val="21"/>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firstLine="640" w:firstLineChars="200"/>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2021年度收、支总计245.85万元。与上年223.65万元相比，增加22.2万元，增长9.93%，主要是由于2021年7月财政一体化新系统上线后，因系统原因省信息技术培训中心人员经费无法使用，经向省财政厅申请</w:t>
      </w:r>
      <w:r>
        <w:rPr>
          <w:rFonts w:hint="eastAsia" w:asciiTheme="minorEastAsia" w:hAnsiTheme="minorEastAsia" w:eastAsiaTheme="minorEastAsia"/>
          <w:color w:val="auto"/>
          <w:sz w:val="32"/>
          <w:szCs w:val="32"/>
        </w:rPr>
        <w:t>（湘工信财务函〔2021〕0020号）同意，将余下</w:t>
      </w:r>
      <w:r>
        <w:rPr>
          <w:rFonts w:hint="eastAsia" w:asciiTheme="minorEastAsia" w:hAnsiTheme="minorEastAsia" w:eastAsiaTheme="minorEastAsia"/>
          <w:sz w:val="32"/>
          <w:szCs w:val="32"/>
        </w:rPr>
        <w:t>指标26.02万元调至我中心，由我中心代为发放人员经费。</w:t>
      </w:r>
    </w:p>
    <w:p>
      <w:pPr>
        <w:pStyle w:val="9"/>
        <w:ind w:firstLine="640" w:firstLineChars="200"/>
        <w:rPr>
          <w:rFonts w:hAnsi="黑体"/>
          <w:b/>
          <w:color w:val="auto"/>
          <w:sz w:val="32"/>
          <w:szCs w:val="32"/>
        </w:rPr>
      </w:pPr>
      <w:r>
        <w:rPr>
          <w:rFonts w:hint="eastAsia" w:hAnsi="黑体"/>
          <w:b/>
          <w:color w:val="auto"/>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2021年度收入合计245.85万元，其中：财政拨款收入245.85万元，占100%；上级补助收入0万元，占0%；事业收入0万元，占0%；经营收入0万元，占0%；附属单位上缴收入0万元，占0%；其他收入0万元，占0%。</w:t>
      </w:r>
    </w:p>
    <w:p>
      <w:pPr>
        <w:pStyle w:val="9"/>
        <w:ind w:firstLine="640" w:firstLineChars="200"/>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2021年度支出合计245.85万元，其中：基本支出245.85万元，占100%；项目支出0万元，占0%；上缴上级支出0万元，占0%；经营支出0万元，占0%；对附属单位补助支出0万元，占0%。</w:t>
      </w:r>
    </w:p>
    <w:p>
      <w:pPr>
        <w:pStyle w:val="9"/>
        <w:ind w:firstLine="640" w:firstLineChars="200"/>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2021年度财政拨款收、支总计245.85万元，与上年223.65万元相比，增加22.2万元,增长9.93%，主要是因2021年7月财政一体化新系统上线后，因系统原因省信息技术培训中心人员经费无法使用，经向省财政厅申请</w:t>
      </w:r>
      <w:r>
        <w:rPr>
          <w:rFonts w:hint="eastAsia" w:asciiTheme="minorEastAsia" w:hAnsiTheme="minorEastAsia" w:eastAsiaTheme="minorEastAsia"/>
          <w:color w:val="auto"/>
          <w:sz w:val="32"/>
          <w:szCs w:val="32"/>
        </w:rPr>
        <w:t>（湘工信财务函〔2021〕0020号）同意，将余下</w:t>
      </w:r>
      <w:r>
        <w:rPr>
          <w:rFonts w:hint="eastAsia" w:asciiTheme="minorEastAsia" w:hAnsiTheme="minorEastAsia" w:eastAsiaTheme="minorEastAsia"/>
          <w:sz w:val="32"/>
          <w:szCs w:val="32"/>
        </w:rPr>
        <w:t>指标26.02万元调至我中心，由我中心代为发放人员经费。综合影响实际支出较上年减少3.82万元，减少1.71%，原因为财政压减了公用经费。</w:t>
      </w:r>
    </w:p>
    <w:p>
      <w:pPr>
        <w:pStyle w:val="9"/>
        <w:ind w:firstLine="640" w:firstLineChars="20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财政拨款支出245.85万元，占本年支出合计的100%，与上年223.65万元相比，财政拨款支出增加22.2万元,增长9.93%，主要是因为2021年7月财政一体化新系统上线后，因系统原因省信息技术培训中心人员经费无法使用，经向省财政厅申请</w:t>
      </w:r>
      <w:r>
        <w:rPr>
          <w:rFonts w:hint="eastAsia" w:asciiTheme="minorEastAsia" w:hAnsiTheme="minorEastAsia" w:eastAsiaTheme="minorEastAsia"/>
          <w:color w:val="auto"/>
          <w:sz w:val="32"/>
          <w:szCs w:val="32"/>
        </w:rPr>
        <w:t>（湘工信财务函〔2021〕0020号）同意，将余下</w:t>
      </w:r>
      <w:r>
        <w:rPr>
          <w:rFonts w:hint="eastAsia" w:asciiTheme="minorEastAsia" w:hAnsiTheme="minorEastAsia" w:eastAsiaTheme="minorEastAsia"/>
          <w:sz w:val="32"/>
          <w:szCs w:val="32"/>
        </w:rPr>
        <w:t>指标调至我中心，由我中心代为发放人员经费。</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color w:val="0070C0"/>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2021年度财政拨款支出245.85万元，主要用于以下方面：社会保障和就业（类）支出14.43万元，占5.87%；卫生健康（类）支出22.95万元，占9.33%；</w:t>
      </w:r>
      <w:r>
        <w:rPr>
          <w:rFonts w:hint="eastAsia" w:asciiTheme="minorEastAsia" w:hAnsiTheme="minorEastAsia" w:eastAsiaTheme="minorEastAsia"/>
          <w:color w:val="auto"/>
          <w:sz w:val="32"/>
          <w:szCs w:val="32"/>
        </w:rPr>
        <w:t>资源勘探工业信息（类）支出189.68万元，占77.15%；住房保障（类）支出18.8万元，占7.65%。</w:t>
      </w:r>
    </w:p>
    <w:p>
      <w:pPr>
        <w:pStyle w:val="9"/>
        <w:ind w:firstLine="704" w:firstLineChars="22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2021年度财政拨款支出年初预算数为219.83万元，调整后预算为245.85万元，支出决算数为245.85万元，完成预算的100%，其中：</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1、社会保障和就业支出（类）行政事业单位养老支出（款）机关事业单位基本养老保险缴费支出（项）。</w:t>
      </w:r>
    </w:p>
    <w:p>
      <w:pPr>
        <w:pStyle w:val="9"/>
        <w:spacing w:line="60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年初预算为11万元，调整后预算为11.43万元，支出决算为11.43万元，完成预算的100%。</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2、社会保障和就业支出（类）其他社会保障和就业支出（款）其他社会保障和就业支出（项）。</w:t>
      </w:r>
    </w:p>
    <w:p>
      <w:pPr>
        <w:pStyle w:val="9"/>
        <w:spacing w:line="60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年初预算为3万元，支出决算为3万元，完成年初预算的100%。</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3、卫生健康支出（类）行政事业单位医疗（款） 事业单位医疗（项）。</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年初预算为10万元，调整后预算为12.2万元，支出决算为12.2万元，完成预算的100%。</w:t>
      </w:r>
    </w:p>
    <w:p>
      <w:pPr>
        <w:pStyle w:val="9"/>
        <w:ind w:firstLine="640" w:firstLineChars="200"/>
        <w:rPr>
          <w:rFonts w:asciiTheme="minorEastAsia" w:hAnsiTheme="minorEastAsia" w:eastAsiaTheme="minorEastAsia"/>
          <w:color w:val="0000FF"/>
          <w:sz w:val="32"/>
          <w:szCs w:val="32"/>
        </w:rPr>
      </w:pPr>
      <w:r>
        <w:rPr>
          <w:rFonts w:hint="eastAsia" w:asciiTheme="minorEastAsia" w:hAnsiTheme="minorEastAsia" w:eastAsiaTheme="minorEastAsia"/>
          <w:color w:val="auto"/>
          <w:sz w:val="32"/>
          <w:szCs w:val="32"/>
        </w:rPr>
        <w:t>4、卫生健康支出（类）行政事业单位医疗（款）公务员医疗补助（项）。</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年初预算为８万元，调整后预算为10.76万元，支出决算为10.76万元，完成预算的100%。</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5、资源勘探工业信息等支出（类）工业和信息产业监管（款）事业运行（项）。</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年初预算为172.83万元，调整后预算为189.68万元，支出决算为189.68万元，完成预算的100%。</w:t>
      </w:r>
    </w:p>
    <w:p>
      <w:pPr>
        <w:pStyle w:val="9"/>
        <w:ind w:firstLine="640" w:firstLineChars="200"/>
        <w:jc w:val="both"/>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6、住房保障支出（类）住房改革支出（款）住房公积金（项）。</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年初预算为6.5万元，调整后预算为18.44万元，支出决算为18.44万元，完成预算的100%。</w:t>
      </w:r>
    </w:p>
    <w:p>
      <w:pPr>
        <w:pStyle w:val="9"/>
        <w:ind w:firstLine="640" w:firstLineChars="200"/>
        <w:rPr>
          <w:rFonts w:asciiTheme="minorEastAsia" w:hAnsiTheme="minorEastAsia" w:eastAsiaTheme="minorEastAsia"/>
          <w:color w:val="auto"/>
          <w:sz w:val="32"/>
          <w:szCs w:val="32"/>
        </w:rPr>
      </w:pPr>
      <w:r>
        <w:rPr>
          <w:rFonts w:hint="eastAsia" w:ascii="宋体" w:hAnsi="宋体" w:eastAsia="宋体" w:cs="宋体"/>
          <w:color w:val="auto"/>
          <w:sz w:val="32"/>
          <w:szCs w:val="32"/>
        </w:rPr>
        <w:t>7、</w:t>
      </w:r>
      <w:r>
        <w:rPr>
          <w:rFonts w:hint="eastAsia" w:asciiTheme="minorEastAsia" w:hAnsiTheme="minorEastAsia" w:eastAsiaTheme="minorEastAsia"/>
          <w:color w:val="auto"/>
          <w:sz w:val="32"/>
          <w:szCs w:val="32"/>
        </w:rPr>
        <w:t>住房保障支出（类）城乡社区住宅（款）其他城乡社区住宅支出（项）。</w:t>
      </w:r>
    </w:p>
    <w:p>
      <w:pPr>
        <w:pStyle w:val="9"/>
        <w:ind w:firstLine="640" w:firstLineChars="200"/>
        <w:rPr>
          <w:rFonts w:ascii="宋体" w:hAnsi="宋体" w:eastAsia="宋体" w:cs="宋体"/>
          <w:color w:val="auto"/>
          <w:sz w:val="32"/>
          <w:szCs w:val="32"/>
        </w:rPr>
      </w:pPr>
      <w:r>
        <w:rPr>
          <w:rFonts w:hint="eastAsia" w:asciiTheme="minorEastAsia" w:hAnsiTheme="minorEastAsia" w:eastAsiaTheme="minorEastAsia"/>
          <w:color w:val="auto"/>
          <w:sz w:val="32"/>
          <w:szCs w:val="32"/>
        </w:rPr>
        <w:t>年初预算为0万元，支出决算为0.36万元</w:t>
      </w:r>
      <w:r>
        <w:rPr>
          <w:rFonts w:hint="eastAsia" w:asciiTheme="minorEastAsia" w:hAnsiTheme="minorEastAsia" w:eastAsiaTheme="minorEastAsia"/>
          <w:color w:val="auto"/>
          <w:sz w:val="32"/>
          <w:szCs w:val="32"/>
          <w:lang w:eastAsia="zh-CN"/>
        </w:rPr>
        <w:t>，由于预算数为0，无法计算百分比。</w:t>
      </w:r>
      <w:r>
        <w:rPr>
          <w:rFonts w:hint="eastAsia" w:asciiTheme="minorEastAsia" w:hAnsiTheme="minorEastAsia" w:eastAsiaTheme="minorEastAsia"/>
          <w:color w:val="auto"/>
          <w:sz w:val="32"/>
          <w:szCs w:val="32"/>
        </w:rPr>
        <w:t>决算数大于年初预算数的主要原因是：财政追加其他城乡社区住宅支出</w:t>
      </w:r>
      <w:r>
        <w:rPr>
          <w:rFonts w:hint="eastAsia" w:ascii="宋体" w:hAnsi="宋体" w:eastAsia="宋体" w:cs="宋体"/>
          <w:color w:val="auto"/>
          <w:sz w:val="32"/>
          <w:szCs w:val="32"/>
        </w:rPr>
        <w:t>，已</w:t>
      </w:r>
      <w:r>
        <w:rPr>
          <w:rFonts w:hint="eastAsia" w:asciiTheme="minorEastAsia" w:hAnsiTheme="minorEastAsia" w:eastAsiaTheme="minorEastAsia"/>
          <w:color w:val="auto"/>
          <w:sz w:val="32"/>
          <w:szCs w:val="32"/>
        </w:rPr>
        <w:t>于本年完成支付</w:t>
      </w:r>
      <w:r>
        <w:rPr>
          <w:rFonts w:hint="eastAsia" w:ascii="宋体" w:hAnsi="宋体" w:eastAsia="宋体" w:cs="宋体"/>
          <w:color w:val="auto"/>
          <w:sz w:val="32"/>
          <w:szCs w:val="32"/>
        </w:rPr>
        <w:t>。</w:t>
      </w:r>
    </w:p>
    <w:p>
      <w:pPr>
        <w:pStyle w:val="9"/>
        <w:ind w:firstLine="640" w:firstLineChars="200"/>
        <w:rPr>
          <w:rFonts w:hAnsi="黑体"/>
          <w:b/>
          <w:color w:val="auto"/>
          <w:sz w:val="32"/>
          <w:szCs w:val="32"/>
        </w:rPr>
      </w:pPr>
      <w:r>
        <w:rPr>
          <w:rFonts w:hint="eastAsia" w:hAnsi="黑体"/>
          <w:b/>
          <w:color w:val="auto"/>
          <w:sz w:val="32"/>
          <w:szCs w:val="32"/>
        </w:rPr>
        <w:t>六、一般公共预算财政拨款基本支出决算情况说明</w:t>
      </w:r>
    </w:p>
    <w:p>
      <w:pPr>
        <w:pStyle w:val="9"/>
        <w:ind w:firstLine="640" w:firstLineChars="200"/>
        <w:jc w:val="both"/>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财政拨款基本支出245.85万元，其中：人员经费201.97万元，占基本支出的82.15%,主要包括基本工资、津贴补贴、奖金、伙食补助费，其中，省信息技术培训中心人员经费不足部分，从省经信委信息中心调剂开支；公用经费43.89万元，占基本支出的17.85%，主要包括办公费、维修（护）费、工会经费、其他交通费等。</w:t>
      </w:r>
    </w:p>
    <w:p>
      <w:pPr>
        <w:pStyle w:val="9"/>
        <w:ind w:firstLine="640" w:firstLineChars="200"/>
        <w:rPr>
          <w:rFonts w:hAnsi="黑体"/>
          <w:b/>
          <w:sz w:val="32"/>
          <w:szCs w:val="32"/>
        </w:rPr>
      </w:pPr>
      <w:r>
        <w:rPr>
          <w:rFonts w:hint="eastAsia" w:hAnsi="黑体"/>
          <w:b/>
          <w:sz w:val="32"/>
          <w:szCs w:val="32"/>
        </w:rPr>
        <w:t>七、一般公共预算财政拨款“三公”经费支出决算情况说明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2021年度“三公”经费财政拨款支出预算为0</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万元，支出决算为0万元，完成预算的0%，</w:t>
      </w:r>
      <w:r>
        <w:rPr>
          <w:rFonts w:hint="eastAsia" w:asciiTheme="minorEastAsia" w:hAnsiTheme="minorEastAsia" w:eastAsiaTheme="minorEastAsia"/>
          <w:sz w:val="32"/>
          <w:szCs w:val="32"/>
          <w:lang w:eastAsia="zh-CN"/>
        </w:rPr>
        <w:t>同上年相比无增减变化。</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因公出国（境）费支出预算为0万元，支出决算为0万元。全年安排因公出国（境）团组0个，累计0人次,全年未进行开支。</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公务接待费支出预算为0.1万元，支出决算为0万元，完成预算的0%，全年共接待来访团组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人次，决算数小于预算数的主要原因是严格执行“三公”经费管理的相关规定和要求，压减公务接待支出。</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公务用车购置费支出预算为0万元，支出决算为0万元。其中：公务用车购置费0万元，更新公务用车0辆，购置公务用车0辆。</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公务用车运行维护费支出预算为0万元，支出决算为0万元。截止2021年12月31日，我单位开支财政拨款的公务用车保有量为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val="en-US" w:eastAsia="zh-CN"/>
        </w:rPr>
        <w:t>。</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eastAsiaTheme="minorEastAsia"/>
          <w:sz w:val="32"/>
          <w:szCs w:val="32"/>
        </w:rPr>
        <w:t>2021年度“三公”经费财政拨款支出决算中，公务接待费支出决算0万元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因公出国（境）费支出决算0万元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公务用车购置费决算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w:t>
      </w:r>
      <w:r>
        <w:rPr>
          <w:rFonts w:hint="eastAsia" w:asciiTheme="minorEastAsia" w:hAnsiTheme="minorEastAsia" w:eastAsiaTheme="minorEastAsia"/>
          <w:sz w:val="32"/>
          <w:szCs w:val="32"/>
          <w:lang w:val="en-US" w:eastAsia="zh-CN"/>
        </w:rPr>
        <w:t>元，</w:t>
      </w:r>
      <w:r>
        <w:rPr>
          <w:rFonts w:hint="eastAsia" w:asciiTheme="minorEastAsia" w:hAnsiTheme="minorEastAsia" w:eastAsiaTheme="minorEastAsia"/>
          <w:sz w:val="32"/>
          <w:szCs w:val="32"/>
        </w:rPr>
        <w:t>公务用车运行维护费支出决算0万元。我中心</w:t>
      </w:r>
      <w:bookmarkStart w:id="3" w:name="_GoBack"/>
      <w:bookmarkEnd w:id="3"/>
      <w:r>
        <w:rPr>
          <w:rFonts w:hint="eastAsia" w:asciiTheme="minorEastAsia" w:hAnsiTheme="minorEastAsia" w:eastAsiaTheme="minorEastAsia"/>
          <w:sz w:val="32"/>
          <w:szCs w:val="32"/>
        </w:rPr>
        <w:t>无公务用车配置，本年也未采购公务用车。</w:t>
      </w:r>
    </w:p>
    <w:p>
      <w:pPr>
        <w:pStyle w:val="9"/>
        <w:ind w:firstLine="640" w:firstLineChars="200"/>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2021年度本中心无政府性基金收支。</w:t>
      </w:r>
    </w:p>
    <w:p>
      <w:pPr>
        <w:pStyle w:val="9"/>
        <w:ind w:firstLine="640" w:firstLineChars="200"/>
        <w:rPr>
          <w:rFonts w:hAnsi="黑体"/>
          <w:b/>
          <w:sz w:val="32"/>
          <w:szCs w:val="32"/>
        </w:rPr>
      </w:pPr>
      <w:r>
        <w:rPr>
          <w:rFonts w:hint="eastAsia" w:hAnsi="黑体"/>
          <w:b/>
          <w:sz w:val="32"/>
          <w:szCs w:val="32"/>
        </w:rPr>
        <w:t>九、机关运行经费支出说明</w:t>
      </w:r>
    </w:p>
    <w:p>
      <w:pPr>
        <w:pStyle w:val="9"/>
        <w:ind w:firstLine="640" w:firstLineChars="200"/>
        <w:jc w:val="both"/>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2021年度本中心无机关运行经费支出</w:t>
      </w:r>
      <w:r>
        <w:rPr>
          <w:rFonts w:hint="eastAsia" w:asciiTheme="minorEastAsia" w:hAnsiTheme="minorEastAsia" w:eastAsiaTheme="minorEastAsia"/>
          <w:color w:val="auto"/>
          <w:sz w:val="32"/>
          <w:szCs w:val="32"/>
        </w:rPr>
        <w:t>。</w:t>
      </w:r>
    </w:p>
    <w:p>
      <w:pPr>
        <w:pStyle w:val="9"/>
        <w:ind w:firstLine="640" w:firstLineChars="200"/>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（一）2021年本</w:t>
      </w:r>
      <w:r>
        <w:rPr>
          <w:rFonts w:hint="eastAsia" w:asciiTheme="minorEastAsia" w:hAnsiTheme="minorEastAsia" w:eastAsiaTheme="minorEastAsia"/>
          <w:sz w:val="32"/>
          <w:szCs w:val="32"/>
        </w:rPr>
        <w:t>中心</w:t>
      </w:r>
      <w:r>
        <w:rPr>
          <w:rFonts w:hint="eastAsia" w:asciiTheme="minorEastAsia" w:hAnsiTheme="minorEastAsia" w:eastAsiaTheme="minorEastAsia"/>
          <w:color w:val="auto"/>
          <w:sz w:val="32"/>
          <w:szCs w:val="32"/>
        </w:rPr>
        <w:t>开支会议费0万元；</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（二）2021年本</w:t>
      </w:r>
      <w:r>
        <w:rPr>
          <w:rFonts w:hint="eastAsia" w:asciiTheme="minorEastAsia" w:hAnsiTheme="minorEastAsia" w:eastAsiaTheme="minorEastAsia"/>
          <w:sz w:val="32"/>
          <w:szCs w:val="32"/>
        </w:rPr>
        <w:t>中心</w:t>
      </w:r>
      <w:r>
        <w:rPr>
          <w:rFonts w:hint="eastAsia" w:asciiTheme="minorEastAsia" w:hAnsiTheme="minorEastAsia" w:eastAsiaTheme="minorEastAsia"/>
          <w:color w:val="auto"/>
          <w:sz w:val="32"/>
          <w:szCs w:val="32"/>
        </w:rPr>
        <w:t>开支培训费0.03万元，内容为在职员工继续教育线上培训费用；</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（三）2021年本</w:t>
      </w:r>
      <w:r>
        <w:rPr>
          <w:rFonts w:hint="eastAsia" w:asciiTheme="minorEastAsia" w:hAnsiTheme="minorEastAsia" w:eastAsiaTheme="minorEastAsia"/>
          <w:sz w:val="32"/>
          <w:szCs w:val="32"/>
        </w:rPr>
        <w:t>中心</w:t>
      </w:r>
      <w:r>
        <w:rPr>
          <w:rFonts w:hint="eastAsia" w:asciiTheme="minorEastAsia" w:hAnsiTheme="minorEastAsia" w:eastAsiaTheme="minorEastAsia"/>
          <w:color w:val="auto"/>
          <w:sz w:val="32"/>
          <w:szCs w:val="32"/>
        </w:rPr>
        <w:t>未举办节庆、晚会、论坛、赛事活动。</w:t>
      </w:r>
    </w:p>
    <w:p>
      <w:pPr>
        <w:pStyle w:val="9"/>
        <w:ind w:firstLine="640" w:firstLineChars="200"/>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本中心2021年度政府采购支出总额0万元。</w:t>
      </w:r>
      <w:r>
        <w:rPr>
          <w:rFonts w:hint="eastAsia" w:asciiTheme="minorEastAsia" w:hAnsiTheme="minorEastAsia" w:eastAsiaTheme="minorEastAsia"/>
          <w:color w:val="auto"/>
          <w:sz w:val="32"/>
          <w:szCs w:val="32"/>
        </w:rPr>
        <w:t>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由于政府采购总额为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；货物采购授予中小企业合同金额占货物支出金额</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工程采购授予中小企业合同金额占工程支出金额</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服务采购授予中小企业合同金额占服务支出金额</w:t>
      </w:r>
      <w:r>
        <w:rPr>
          <w:rFonts w:hint="eastAsia" w:asciiTheme="minorEastAsia" w:hAnsiTheme="minorEastAsia" w:eastAsiaTheme="minorEastAsia"/>
          <w:color w:val="auto"/>
          <w:sz w:val="32"/>
          <w:szCs w:val="32"/>
          <w:lang w:eastAsia="zh-CN"/>
        </w:rPr>
        <w:t>，由于政府采购总额为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w:t>
      </w:r>
    </w:p>
    <w:p>
      <w:pPr>
        <w:pStyle w:val="9"/>
        <w:ind w:firstLine="640" w:firstLineChars="200"/>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截至2021年12月31日，本中心共有车辆0辆；单位价值50万元以上通用设备0台（套）；单位价值100万元以上专用设备0台（套）。</w:t>
      </w:r>
    </w:p>
    <w:p>
      <w:pPr>
        <w:pStyle w:val="9"/>
        <w:ind w:firstLine="640" w:firstLineChars="200"/>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asciiTheme="minorEastAsia" w:hAnsiTheme="minorEastAsia"/>
          <w:sz w:val="32"/>
          <w:szCs w:val="32"/>
        </w:rPr>
        <w:t>2022年4月19日至4月20日，为推进全过程绩效管理，强化支出责任意识，提高财政资金使用效益和管理水平，根据</w:t>
      </w:r>
      <w:r>
        <w:rPr>
          <w:rFonts w:hint="eastAsia" w:cs="黑体" w:asciiTheme="minorEastAsia" w:hAnsiTheme="minorEastAsia"/>
          <w:color w:val="000000"/>
          <w:kern w:val="0"/>
          <w:sz w:val="32"/>
          <w:szCs w:val="32"/>
        </w:rPr>
        <w:t>预算绩效管理要求</w:t>
      </w:r>
      <w:r>
        <w:rPr>
          <w:rFonts w:hint="eastAsia" w:asciiTheme="minorEastAsia" w:hAnsiTheme="minorEastAsia"/>
          <w:sz w:val="32"/>
          <w:szCs w:val="32"/>
        </w:rPr>
        <w:t>，</w:t>
      </w:r>
      <w:r>
        <w:rPr>
          <w:rFonts w:hint="eastAsia" w:cs="黑体" w:asciiTheme="minorEastAsia" w:hAnsiTheme="minorEastAsia"/>
          <w:color w:val="000000"/>
          <w:kern w:val="0"/>
          <w:sz w:val="32"/>
          <w:szCs w:val="32"/>
        </w:rPr>
        <w:t>我中心</w:t>
      </w:r>
      <w:r>
        <w:rPr>
          <w:rFonts w:hint="eastAsia" w:asciiTheme="minorEastAsia" w:hAnsiTheme="minorEastAsia"/>
          <w:sz w:val="32"/>
          <w:szCs w:val="32"/>
        </w:rPr>
        <w:t>认真组织开展了2021年度部门整体支出绩效自评工作。</w:t>
      </w:r>
      <w:r>
        <w:rPr>
          <w:rFonts w:hint="eastAsia" w:cs="黑体" w:asciiTheme="minorEastAsia" w:hAnsiTheme="minorEastAsia"/>
          <w:color w:val="000000"/>
          <w:kern w:val="0"/>
          <w:sz w:val="32"/>
          <w:szCs w:val="32"/>
        </w:rPr>
        <w:t>共涉及资金245.85万元，全部为基本支出。本部门无政府性基金预算项目支出和国有资本经营预算项目支出。</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我中心无项目支出。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根据省财政要求，按照《湖南省预算支出绩效评价管理办法》（湘财绩〔2020〕7号）的规定，</w:t>
      </w:r>
      <w:r>
        <w:rPr>
          <w:rFonts w:hint="eastAsia" w:asciiTheme="minorEastAsia" w:hAnsiTheme="minorEastAsia"/>
          <w:sz w:val="32"/>
          <w:szCs w:val="32"/>
        </w:rPr>
        <w:t>根据基础数据分析计算，</w:t>
      </w: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中心</w:t>
      </w:r>
      <w:r>
        <w:rPr>
          <w:rFonts w:hint="eastAsia" w:asciiTheme="minorEastAsia" w:hAnsiTheme="minorEastAsia"/>
          <w:sz w:val="32"/>
          <w:szCs w:val="32"/>
        </w:rPr>
        <w:t>2021年度部门整体支出自评价综合得分为99分。整体绩效评价附后。</w:t>
      </w: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numPr>
          <w:ilvl w:val="0"/>
          <w:numId w:val="2"/>
        </w:numPr>
        <w:ind w:firstLine="640" w:firstLineChars="200"/>
        <w:jc w:val="left"/>
        <w:rPr>
          <w:rFonts w:asciiTheme="minorEastAsia" w:hAnsiTheme="minorEastAsia"/>
          <w:sz w:val="32"/>
          <w:szCs w:val="32"/>
        </w:rPr>
      </w:pPr>
      <w:r>
        <w:rPr>
          <w:rFonts w:hint="eastAsia" w:asciiTheme="minorEastAsia" w:hAnsiTheme="minorEastAsia"/>
          <w:sz w:val="32"/>
          <w:szCs w:val="32"/>
        </w:rPr>
        <w:t>基本支出：指为保障机构正常运转、完成日常工作任务而发生的各项支出，包括人员支出和公用支出。</w:t>
      </w:r>
    </w:p>
    <w:p>
      <w:pPr>
        <w:numPr>
          <w:ilvl w:val="0"/>
          <w:numId w:val="2"/>
        </w:numPr>
        <w:ind w:firstLine="640" w:firstLineChars="200"/>
        <w:jc w:val="left"/>
        <w:rPr>
          <w:rFonts w:cs="黑体" w:asciiTheme="minorEastAsia" w:hAnsiTheme="minorEastAsia"/>
          <w:color w:val="000000"/>
          <w:kern w:val="0"/>
          <w:sz w:val="32"/>
          <w:szCs w:val="32"/>
        </w:rPr>
      </w:pPr>
      <w:r>
        <w:rPr>
          <w:rFonts w:hint="eastAsia" w:asciiTheme="minorEastAsia" w:hAnsiTheme="minorEastAsia"/>
          <w:sz w:val="32"/>
          <w:szCs w:val="32"/>
        </w:rPr>
        <w:t>项目支出：指在基本支出以外为完成相关行政任务和事业发展目标所发生的各项支出。 </w:t>
      </w:r>
    </w:p>
    <w:p>
      <w:pPr>
        <w:numPr>
          <w:ilvl w:val="0"/>
          <w:numId w:val="2"/>
        </w:numPr>
        <w:ind w:firstLine="640" w:firstLineChars="200"/>
        <w:jc w:val="left"/>
        <w:rPr>
          <w:rFonts w:asciiTheme="minorEastAsia" w:hAnsiTheme="minorEastAsia"/>
          <w:sz w:val="32"/>
          <w:szCs w:val="32"/>
        </w:rPr>
      </w:pPr>
      <w:r>
        <w:rPr>
          <w:rFonts w:hint="eastAsia" w:asciiTheme="minorEastAsia" w:hAnsiTheme="minorEastAsia"/>
          <w:sz w:val="32"/>
          <w:szCs w:val="32"/>
        </w:rPr>
        <w:t>“三公”经费：指通过财政拨款资金安排的因公出国（境）费、公务用车购置及运行费和公务接待费支出。</w:t>
      </w:r>
    </w:p>
    <w:p>
      <w:pPr>
        <w:numPr>
          <w:ilvl w:val="0"/>
          <w:numId w:val="2"/>
        </w:numPr>
        <w:ind w:firstLine="640" w:firstLineChars="200"/>
        <w:jc w:val="left"/>
        <w:rPr>
          <w:rFonts w:asciiTheme="minorEastAsia" w:hAnsiTheme="minorEastAsia"/>
          <w:sz w:val="32"/>
          <w:szCs w:val="32"/>
        </w:rPr>
      </w:pPr>
      <w:r>
        <w:rPr>
          <w:rFonts w:hint="eastAsia" w:asciiTheme="minorEastAsia" w:hAnsiTheme="minorEastAsia"/>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附件：2021年度省经信委信息中心整体支出绩效自评报告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script"/>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9838F"/>
    <w:multiLevelType w:val="singleLevel"/>
    <w:tmpl w:val="28F9838F"/>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g1Mzc4YmU1ZGYxNGRiODM0YWUyZWNjZmI0NDhmNmMifQ=="/>
  </w:docVars>
  <w:rsids>
    <w:rsidRoot w:val="004506F9"/>
    <w:rsid w:val="000207D2"/>
    <w:rsid w:val="0002229B"/>
    <w:rsid w:val="000273BD"/>
    <w:rsid w:val="000415B7"/>
    <w:rsid w:val="00041E3F"/>
    <w:rsid w:val="00055DAA"/>
    <w:rsid w:val="00061F7B"/>
    <w:rsid w:val="000647BD"/>
    <w:rsid w:val="00065071"/>
    <w:rsid w:val="000658A3"/>
    <w:rsid w:val="000737A3"/>
    <w:rsid w:val="00074155"/>
    <w:rsid w:val="000873EF"/>
    <w:rsid w:val="00093D45"/>
    <w:rsid w:val="000965E4"/>
    <w:rsid w:val="000A04F6"/>
    <w:rsid w:val="000A3F69"/>
    <w:rsid w:val="000B12D1"/>
    <w:rsid w:val="000E26AF"/>
    <w:rsid w:val="000E5853"/>
    <w:rsid w:val="000E6443"/>
    <w:rsid w:val="00103957"/>
    <w:rsid w:val="00124A1F"/>
    <w:rsid w:val="00133752"/>
    <w:rsid w:val="00152C6D"/>
    <w:rsid w:val="00162D39"/>
    <w:rsid w:val="001678BD"/>
    <w:rsid w:val="00182373"/>
    <w:rsid w:val="001A67DB"/>
    <w:rsid w:val="001A6E3C"/>
    <w:rsid w:val="001C3C29"/>
    <w:rsid w:val="001C79C0"/>
    <w:rsid w:val="001D005B"/>
    <w:rsid w:val="001D4B28"/>
    <w:rsid w:val="001D51E5"/>
    <w:rsid w:val="001E080D"/>
    <w:rsid w:val="001E53D0"/>
    <w:rsid w:val="001F0C3B"/>
    <w:rsid w:val="00202C14"/>
    <w:rsid w:val="00202C82"/>
    <w:rsid w:val="002064D4"/>
    <w:rsid w:val="00214427"/>
    <w:rsid w:val="00226CB7"/>
    <w:rsid w:val="00246C90"/>
    <w:rsid w:val="00256673"/>
    <w:rsid w:val="00264552"/>
    <w:rsid w:val="00264EF9"/>
    <w:rsid w:val="00265724"/>
    <w:rsid w:val="0027426B"/>
    <w:rsid w:val="002C6C22"/>
    <w:rsid w:val="002D0B75"/>
    <w:rsid w:val="002D41AC"/>
    <w:rsid w:val="002D69F4"/>
    <w:rsid w:val="002E0A30"/>
    <w:rsid w:val="002F5F54"/>
    <w:rsid w:val="00311D67"/>
    <w:rsid w:val="003130C4"/>
    <w:rsid w:val="00316C4B"/>
    <w:rsid w:val="0032192B"/>
    <w:rsid w:val="003479BD"/>
    <w:rsid w:val="0037197D"/>
    <w:rsid w:val="003768D5"/>
    <w:rsid w:val="003A300F"/>
    <w:rsid w:val="003C4197"/>
    <w:rsid w:val="003C47E6"/>
    <w:rsid w:val="003C4FC2"/>
    <w:rsid w:val="003E2331"/>
    <w:rsid w:val="003F28ED"/>
    <w:rsid w:val="00416E61"/>
    <w:rsid w:val="004259A4"/>
    <w:rsid w:val="0042790C"/>
    <w:rsid w:val="00433590"/>
    <w:rsid w:val="004506F9"/>
    <w:rsid w:val="00460ADF"/>
    <w:rsid w:val="004717A2"/>
    <w:rsid w:val="00473DF3"/>
    <w:rsid w:val="00487911"/>
    <w:rsid w:val="00491741"/>
    <w:rsid w:val="004B0CEE"/>
    <w:rsid w:val="00500917"/>
    <w:rsid w:val="00500E5F"/>
    <w:rsid w:val="005122EF"/>
    <w:rsid w:val="00513FD9"/>
    <w:rsid w:val="0051441A"/>
    <w:rsid w:val="00517C33"/>
    <w:rsid w:val="00517D5F"/>
    <w:rsid w:val="00521AF2"/>
    <w:rsid w:val="00523644"/>
    <w:rsid w:val="00525302"/>
    <w:rsid w:val="00526466"/>
    <w:rsid w:val="0054069E"/>
    <w:rsid w:val="00544866"/>
    <w:rsid w:val="0054752A"/>
    <w:rsid w:val="005525C2"/>
    <w:rsid w:val="005609CC"/>
    <w:rsid w:val="00573BA6"/>
    <w:rsid w:val="005767CC"/>
    <w:rsid w:val="00590D9F"/>
    <w:rsid w:val="00595D26"/>
    <w:rsid w:val="005A31BA"/>
    <w:rsid w:val="005A74E6"/>
    <w:rsid w:val="005B404E"/>
    <w:rsid w:val="005D22C4"/>
    <w:rsid w:val="005D4845"/>
    <w:rsid w:val="005D4D55"/>
    <w:rsid w:val="005E2CFB"/>
    <w:rsid w:val="005F2103"/>
    <w:rsid w:val="005F3D1C"/>
    <w:rsid w:val="005F646E"/>
    <w:rsid w:val="00604C3B"/>
    <w:rsid w:val="0062378F"/>
    <w:rsid w:val="00641842"/>
    <w:rsid w:val="006503EE"/>
    <w:rsid w:val="00651EEC"/>
    <w:rsid w:val="00676B71"/>
    <w:rsid w:val="00686673"/>
    <w:rsid w:val="00691E8C"/>
    <w:rsid w:val="0069525A"/>
    <w:rsid w:val="006A22C4"/>
    <w:rsid w:val="006A348B"/>
    <w:rsid w:val="006A351B"/>
    <w:rsid w:val="006A4418"/>
    <w:rsid w:val="006A6429"/>
    <w:rsid w:val="006B0422"/>
    <w:rsid w:val="006C1B53"/>
    <w:rsid w:val="006D7730"/>
    <w:rsid w:val="006E01FA"/>
    <w:rsid w:val="006E5284"/>
    <w:rsid w:val="006F3EB5"/>
    <w:rsid w:val="00702E34"/>
    <w:rsid w:val="00704395"/>
    <w:rsid w:val="00704929"/>
    <w:rsid w:val="00706586"/>
    <w:rsid w:val="00710FE7"/>
    <w:rsid w:val="00716F41"/>
    <w:rsid w:val="00717621"/>
    <w:rsid w:val="00720FF1"/>
    <w:rsid w:val="00727A53"/>
    <w:rsid w:val="0073636C"/>
    <w:rsid w:val="007623B5"/>
    <w:rsid w:val="00787B42"/>
    <w:rsid w:val="007C2604"/>
    <w:rsid w:val="007C4539"/>
    <w:rsid w:val="007C4CD5"/>
    <w:rsid w:val="007D49AE"/>
    <w:rsid w:val="007F3657"/>
    <w:rsid w:val="00812ED5"/>
    <w:rsid w:val="008277D9"/>
    <w:rsid w:val="0084478C"/>
    <w:rsid w:val="00852152"/>
    <w:rsid w:val="00861548"/>
    <w:rsid w:val="0086638C"/>
    <w:rsid w:val="008A3E8D"/>
    <w:rsid w:val="008B2DB3"/>
    <w:rsid w:val="008F5D9A"/>
    <w:rsid w:val="00916933"/>
    <w:rsid w:val="009237C4"/>
    <w:rsid w:val="00944C48"/>
    <w:rsid w:val="00950252"/>
    <w:rsid w:val="00962952"/>
    <w:rsid w:val="00967F5D"/>
    <w:rsid w:val="009A0F95"/>
    <w:rsid w:val="009A1BB0"/>
    <w:rsid w:val="009B3ADF"/>
    <w:rsid w:val="009B634E"/>
    <w:rsid w:val="009C3B52"/>
    <w:rsid w:val="009E3D19"/>
    <w:rsid w:val="009E6817"/>
    <w:rsid w:val="009E6E9A"/>
    <w:rsid w:val="00A01D2B"/>
    <w:rsid w:val="00A36DBE"/>
    <w:rsid w:val="00A42218"/>
    <w:rsid w:val="00A4681E"/>
    <w:rsid w:val="00A56E12"/>
    <w:rsid w:val="00A57C6C"/>
    <w:rsid w:val="00A70249"/>
    <w:rsid w:val="00A70B02"/>
    <w:rsid w:val="00A71D9F"/>
    <w:rsid w:val="00A92E9F"/>
    <w:rsid w:val="00AA7544"/>
    <w:rsid w:val="00AB1A3F"/>
    <w:rsid w:val="00AE233B"/>
    <w:rsid w:val="00B23C9F"/>
    <w:rsid w:val="00B335AF"/>
    <w:rsid w:val="00B33961"/>
    <w:rsid w:val="00B33BEA"/>
    <w:rsid w:val="00B361E6"/>
    <w:rsid w:val="00B57C9F"/>
    <w:rsid w:val="00B63572"/>
    <w:rsid w:val="00B72EC4"/>
    <w:rsid w:val="00B845B3"/>
    <w:rsid w:val="00B85D8B"/>
    <w:rsid w:val="00BB4A40"/>
    <w:rsid w:val="00BC4901"/>
    <w:rsid w:val="00BD6C3E"/>
    <w:rsid w:val="00BE3674"/>
    <w:rsid w:val="00BF0B8F"/>
    <w:rsid w:val="00BF50C0"/>
    <w:rsid w:val="00C10681"/>
    <w:rsid w:val="00C3049A"/>
    <w:rsid w:val="00C31247"/>
    <w:rsid w:val="00C31B1E"/>
    <w:rsid w:val="00C44C5E"/>
    <w:rsid w:val="00C510B4"/>
    <w:rsid w:val="00C65A0D"/>
    <w:rsid w:val="00C77645"/>
    <w:rsid w:val="00CA5C6F"/>
    <w:rsid w:val="00CD042E"/>
    <w:rsid w:val="00CE04C3"/>
    <w:rsid w:val="00CE55EB"/>
    <w:rsid w:val="00CE76A0"/>
    <w:rsid w:val="00D148C6"/>
    <w:rsid w:val="00D17A8A"/>
    <w:rsid w:val="00D22C6D"/>
    <w:rsid w:val="00D34853"/>
    <w:rsid w:val="00D415BA"/>
    <w:rsid w:val="00D63780"/>
    <w:rsid w:val="00D644EE"/>
    <w:rsid w:val="00D75489"/>
    <w:rsid w:val="00DB5553"/>
    <w:rsid w:val="00DC7D91"/>
    <w:rsid w:val="00DD06FF"/>
    <w:rsid w:val="00DD5622"/>
    <w:rsid w:val="00DD5FE9"/>
    <w:rsid w:val="00DF1EA0"/>
    <w:rsid w:val="00E00C7A"/>
    <w:rsid w:val="00E06A38"/>
    <w:rsid w:val="00E209CF"/>
    <w:rsid w:val="00E271D9"/>
    <w:rsid w:val="00E37D6C"/>
    <w:rsid w:val="00E54CB4"/>
    <w:rsid w:val="00E55B68"/>
    <w:rsid w:val="00E67BE6"/>
    <w:rsid w:val="00E8661A"/>
    <w:rsid w:val="00E8683C"/>
    <w:rsid w:val="00EA2B72"/>
    <w:rsid w:val="00EA5FBF"/>
    <w:rsid w:val="00EB25B7"/>
    <w:rsid w:val="00ED47C5"/>
    <w:rsid w:val="00EF7E51"/>
    <w:rsid w:val="00F07E74"/>
    <w:rsid w:val="00F6581C"/>
    <w:rsid w:val="00F74360"/>
    <w:rsid w:val="00F87634"/>
    <w:rsid w:val="00F95C9D"/>
    <w:rsid w:val="00FA4BD4"/>
    <w:rsid w:val="00FB0998"/>
    <w:rsid w:val="00FB462F"/>
    <w:rsid w:val="00FD3944"/>
    <w:rsid w:val="00FE16FA"/>
    <w:rsid w:val="00FE328A"/>
    <w:rsid w:val="00FE6269"/>
    <w:rsid w:val="00FF41E0"/>
    <w:rsid w:val="00FF5CD6"/>
    <w:rsid w:val="0230163E"/>
    <w:rsid w:val="023C1A7E"/>
    <w:rsid w:val="028A4B59"/>
    <w:rsid w:val="03243197"/>
    <w:rsid w:val="032432AB"/>
    <w:rsid w:val="032F6329"/>
    <w:rsid w:val="03FF1E46"/>
    <w:rsid w:val="04544D62"/>
    <w:rsid w:val="04D97885"/>
    <w:rsid w:val="04FC0860"/>
    <w:rsid w:val="05261456"/>
    <w:rsid w:val="059E5533"/>
    <w:rsid w:val="06B20A02"/>
    <w:rsid w:val="06F65105"/>
    <w:rsid w:val="07FC3E74"/>
    <w:rsid w:val="081766DD"/>
    <w:rsid w:val="08C13F84"/>
    <w:rsid w:val="08D00067"/>
    <w:rsid w:val="097C202B"/>
    <w:rsid w:val="0B9F59D7"/>
    <w:rsid w:val="0BF229DC"/>
    <w:rsid w:val="0C1B7A20"/>
    <w:rsid w:val="0D2E0639"/>
    <w:rsid w:val="0E766A97"/>
    <w:rsid w:val="0EFC2CC8"/>
    <w:rsid w:val="0F1F320B"/>
    <w:rsid w:val="0F721A35"/>
    <w:rsid w:val="0FA51AAB"/>
    <w:rsid w:val="10A750AA"/>
    <w:rsid w:val="10AF1626"/>
    <w:rsid w:val="10B70866"/>
    <w:rsid w:val="10D16494"/>
    <w:rsid w:val="124653FC"/>
    <w:rsid w:val="13F75776"/>
    <w:rsid w:val="15E15F88"/>
    <w:rsid w:val="1603178E"/>
    <w:rsid w:val="162118B1"/>
    <w:rsid w:val="163C5149"/>
    <w:rsid w:val="164C3550"/>
    <w:rsid w:val="164D29A3"/>
    <w:rsid w:val="16790B14"/>
    <w:rsid w:val="16832BBD"/>
    <w:rsid w:val="16970C70"/>
    <w:rsid w:val="176D3267"/>
    <w:rsid w:val="18172FB8"/>
    <w:rsid w:val="19053D5D"/>
    <w:rsid w:val="19171571"/>
    <w:rsid w:val="194B45AF"/>
    <w:rsid w:val="1956267B"/>
    <w:rsid w:val="19923297"/>
    <w:rsid w:val="19FE5740"/>
    <w:rsid w:val="1A7035D8"/>
    <w:rsid w:val="1AD02BB7"/>
    <w:rsid w:val="1B835A07"/>
    <w:rsid w:val="1C4057C1"/>
    <w:rsid w:val="1C8E5905"/>
    <w:rsid w:val="1DB02FAE"/>
    <w:rsid w:val="1DC738B3"/>
    <w:rsid w:val="1E68516D"/>
    <w:rsid w:val="1EB25197"/>
    <w:rsid w:val="21293340"/>
    <w:rsid w:val="21FD4720"/>
    <w:rsid w:val="2204125E"/>
    <w:rsid w:val="22CA56D0"/>
    <w:rsid w:val="23567261"/>
    <w:rsid w:val="239A0867"/>
    <w:rsid w:val="245B4AC9"/>
    <w:rsid w:val="24BA7B81"/>
    <w:rsid w:val="254E77AE"/>
    <w:rsid w:val="255D5EC6"/>
    <w:rsid w:val="280E2503"/>
    <w:rsid w:val="281F48F8"/>
    <w:rsid w:val="284D0435"/>
    <w:rsid w:val="290F2888"/>
    <w:rsid w:val="2A05470F"/>
    <w:rsid w:val="2A0E6DBF"/>
    <w:rsid w:val="2A7E48FF"/>
    <w:rsid w:val="2BF0502D"/>
    <w:rsid w:val="2C647663"/>
    <w:rsid w:val="2C8132A3"/>
    <w:rsid w:val="2D68108A"/>
    <w:rsid w:val="2DEE385C"/>
    <w:rsid w:val="2EC27BA3"/>
    <w:rsid w:val="2F676F1B"/>
    <w:rsid w:val="2F7DD0A3"/>
    <w:rsid w:val="2FC64953"/>
    <w:rsid w:val="30904697"/>
    <w:rsid w:val="30B532B6"/>
    <w:rsid w:val="315471D8"/>
    <w:rsid w:val="3199431B"/>
    <w:rsid w:val="32451479"/>
    <w:rsid w:val="32757E3E"/>
    <w:rsid w:val="32F02859"/>
    <w:rsid w:val="33C5099B"/>
    <w:rsid w:val="33DA1D44"/>
    <w:rsid w:val="34076784"/>
    <w:rsid w:val="341D1B40"/>
    <w:rsid w:val="346E5FB7"/>
    <w:rsid w:val="34CE72A2"/>
    <w:rsid w:val="353847CE"/>
    <w:rsid w:val="35A2784E"/>
    <w:rsid w:val="36A43F20"/>
    <w:rsid w:val="377759CE"/>
    <w:rsid w:val="38194CD8"/>
    <w:rsid w:val="38A461A2"/>
    <w:rsid w:val="391F045F"/>
    <w:rsid w:val="397B1F6B"/>
    <w:rsid w:val="39BD2B0D"/>
    <w:rsid w:val="3A3F0396"/>
    <w:rsid w:val="3B255EAA"/>
    <w:rsid w:val="3B771F18"/>
    <w:rsid w:val="3C636420"/>
    <w:rsid w:val="3CA13E1B"/>
    <w:rsid w:val="3E047A60"/>
    <w:rsid w:val="3F9C6B7A"/>
    <w:rsid w:val="3FB05F21"/>
    <w:rsid w:val="429B207D"/>
    <w:rsid w:val="42F3792E"/>
    <w:rsid w:val="44417FBB"/>
    <w:rsid w:val="45810DBE"/>
    <w:rsid w:val="45D12EFC"/>
    <w:rsid w:val="462C205D"/>
    <w:rsid w:val="46793846"/>
    <w:rsid w:val="479A532E"/>
    <w:rsid w:val="48E555AD"/>
    <w:rsid w:val="498228CF"/>
    <w:rsid w:val="498E6C68"/>
    <w:rsid w:val="4A317669"/>
    <w:rsid w:val="4A351044"/>
    <w:rsid w:val="4A636E3F"/>
    <w:rsid w:val="4A6520B4"/>
    <w:rsid w:val="4AC92197"/>
    <w:rsid w:val="4BE5291A"/>
    <w:rsid w:val="4C847108"/>
    <w:rsid w:val="4CE410FA"/>
    <w:rsid w:val="4DA031E8"/>
    <w:rsid w:val="4E1A08B8"/>
    <w:rsid w:val="4EAC42A2"/>
    <w:rsid w:val="4EC36F83"/>
    <w:rsid w:val="4F0350DC"/>
    <w:rsid w:val="51180B47"/>
    <w:rsid w:val="52EA7CEF"/>
    <w:rsid w:val="52FF4C86"/>
    <w:rsid w:val="533F58AC"/>
    <w:rsid w:val="53A51A58"/>
    <w:rsid w:val="53D617AB"/>
    <w:rsid w:val="53DC6D08"/>
    <w:rsid w:val="53F4238A"/>
    <w:rsid w:val="542D593B"/>
    <w:rsid w:val="54527FE1"/>
    <w:rsid w:val="54C13AA7"/>
    <w:rsid w:val="54C94F38"/>
    <w:rsid w:val="54D62EF8"/>
    <w:rsid w:val="54F8565F"/>
    <w:rsid w:val="552E5A47"/>
    <w:rsid w:val="557325F3"/>
    <w:rsid w:val="559C7206"/>
    <w:rsid w:val="56D866C7"/>
    <w:rsid w:val="56F24953"/>
    <w:rsid w:val="571C713A"/>
    <w:rsid w:val="576A2629"/>
    <w:rsid w:val="577235CD"/>
    <w:rsid w:val="584D0930"/>
    <w:rsid w:val="588A66CF"/>
    <w:rsid w:val="58D72549"/>
    <w:rsid w:val="59725B9E"/>
    <w:rsid w:val="599E0923"/>
    <w:rsid w:val="59AA2ACE"/>
    <w:rsid w:val="5B4256B7"/>
    <w:rsid w:val="5C743E1A"/>
    <w:rsid w:val="5CD153FF"/>
    <w:rsid w:val="5CDF49B6"/>
    <w:rsid w:val="5D0211D1"/>
    <w:rsid w:val="5D0533F5"/>
    <w:rsid w:val="5D0D2B76"/>
    <w:rsid w:val="5E0D7695"/>
    <w:rsid w:val="5E7A7344"/>
    <w:rsid w:val="5E8648FF"/>
    <w:rsid w:val="5ECE36F4"/>
    <w:rsid w:val="5F430150"/>
    <w:rsid w:val="5F8E1258"/>
    <w:rsid w:val="5FBA5CE2"/>
    <w:rsid w:val="60BB267C"/>
    <w:rsid w:val="613D6F99"/>
    <w:rsid w:val="6190102F"/>
    <w:rsid w:val="619F7F6E"/>
    <w:rsid w:val="623E1E4C"/>
    <w:rsid w:val="625C39DF"/>
    <w:rsid w:val="62760AAF"/>
    <w:rsid w:val="63C139AA"/>
    <w:rsid w:val="64AC0F89"/>
    <w:rsid w:val="6510164E"/>
    <w:rsid w:val="66D0648E"/>
    <w:rsid w:val="66E60D72"/>
    <w:rsid w:val="673B76B2"/>
    <w:rsid w:val="6AAB7C4A"/>
    <w:rsid w:val="6ABE21DC"/>
    <w:rsid w:val="6BDB4810"/>
    <w:rsid w:val="6BFFBBF8"/>
    <w:rsid w:val="6C2864D4"/>
    <w:rsid w:val="6D186A93"/>
    <w:rsid w:val="6D3455D6"/>
    <w:rsid w:val="6E577801"/>
    <w:rsid w:val="6E810905"/>
    <w:rsid w:val="6EC76BE9"/>
    <w:rsid w:val="6F780EAA"/>
    <w:rsid w:val="70E51A79"/>
    <w:rsid w:val="710475CC"/>
    <w:rsid w:val="71484B9B"/>
    <w:rsid w:val="71526B78"/>
    <w:rsid w:val="71564C46"/>
    <w:rsid w:val="7182426A"/>
    <w:rsid w:val="71B07D42"/>
    <w:rsid w:val="71EE5E3D"/>
    <w:rsid w:val="72251CA8"/>
    <w:rsid w:val="72697E3D"/>
    <w:rsid w:val="74753ED1"/>
    <w:rsid w:val="751051B3"/>
    <w:rsid w:val="75624DE6"/>
    <w:rsid w:val="75AB7036"/>
    <w:rsid w:val="75D83B6F"/>
    <w:rsid w:val="75DD05EE"/>
    <w:rsid w:val="7649336F"/>
    <w:rsid w:val="772B320C"/>
    <w:rsid w:val="772F08C8"/>
    <w:rsid w:val="77953B8E"/>
    <w:rsid w:val="77DE2D74"/>
    <w:rsid w:val="78587746"/>
    <w:rsid w:val="79C83F20"/>
    <w:rsid w:val="79DC2042"/>
    <w:rsid w:val="7AA41DEE"/>
    <w:rsid w:val="7AB66693"/>
    <w:rsid w:val="7ABE0225"/>
    <w:rsid w:val="7AF1344F"/>
    <w:rsid w:val="7B1D35E5"/>
    <w:rsid w:val="7B943A2C"/>
    <w:rsid w:val="7BEB8039"/>
    <w:rsid w:val="7CAF663E"/>
    <w:rsid w:val="7D6DA496"/>
    <w:rsid w:val="7DA56BFC"/>
    <w:rsid w:val="7E6E7F29"/>
    <w:rsid w:val="96FDF3A8"/>
    <w:rsid w:val="BBFF767F"/>
    <w:rsid w:val="D5A511A8"/>
    <w:rsid w:val="E98F55FF"/>
    <w:rsid w:val="FE9FAD03"/>
    <w:rsid w:val="FFFDC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7248</Words>
  <Characters>9580</Characters>
  <Lines>87</Lines>
  <Paragraphs>24</Paragraphs>
  <TotalTime>0</TotalTime>
  <ScaleCrop>false</ScaleCrop>
  <LinksUpToDate>false</LinksUpToDate>
  <CharactersWithSpaces>10290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2020-07-03T02:32:00Z</dcterms:created>
  <dc:creator>李航 null</dc:creator>
  <cp:lastModifiedBy>kylin</cp:lastModifiedBy>
  <cp:lastPrinted>2022-07-28T12:55:00Z</cp:lastPrinted>
  <dcterms:modified xsi:type="dcterms:W3CDTF">2023-09-26T11:36:45Z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8810DBC582184730ADC1BC2869B0B8F6</vt:lpwstr>
  </property>
</Properties>
</file>