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rFonts w:hint="eastAsia"/>
          <w:sz w:val="84"/>
          <w:szCs w:val="84"/>
        </w:rPr>
      </w:pPr>
      <w:r>
        <w:rPr>
          <w:rFonts w:hint="eastAsia"/>
          <w:sz w:val="84"/>
          <w:szCs w:val="84"/>
        </w:rPr>
        <w:t>湖南省经信委信息中心</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rFonts w:hint="eastAsia"/>
          <w:sz w:val="32"/>
          <w:szCs w:val="32"/>
        </w:rPr>
      </w:pPr>
    </w:p>
    <w:p>
      <w:pPr>
        <w:pStyle w:val="10"/>
        <w:jc w:val="center"/>
        <w:rPr>
          <w:rFonts w:hint="eastAsia"/>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rPr>
        <w:t>湖南省经信委信息中心单位概况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rFonts w:hint="eastAsia"/>
          <w:sz w:val="84"/>
          <w:szCs w:val="84"/>
        </w:rPr>
      </w:pPr>
      <w:r>
        <w:rPr>
          <w:rFonts w:hint="eastAsia"/>
          <w:sz w:val="84"/>
          <w:szCs w:val="84"/>
        </w:rPr>
        <w:t>湖南省经信委信息中心</w:t>
      </w:r>
    </w:p>
    <w:p>
      <w:pPr>
        <w:pStyle w:val="10"/>
        <w:jc w:val="center"/>
        <w:rPr>
          <w:sz w:val="84"/>
          <w:szCs w:val="84"/>
        </w:rPr>
      </w:pP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napToGrid w:val="0"/>
        <w:spacing w:line="520" w:lineRule="exact"/>
        <w:ind w:firstLine="640" w:firstLineChars="200"/>
        <w:rPr>
          <w:rFonts w:ascii="宋体" w:hAnsi="宋体"/>
          <w:sz w:val="32"/>
          <w:szCs w:val="32"/>
        </w:rPr>
      </w:pPr>
      <w:r>
        <w:rPr>
          <w:rFonts w:hint="eastAsia" w:asciiTheme="minorEastAsia" w:hAnsiTheme="minorEastAsia"/>
          <w:bCs/>
          <w:kern w:val="0"/>
          <w:sz w:val="32"/>
          <w:szCs w:val="32"/>
        </w:rPr>
        <w:t>负责厅机关政务信息化建设和信息系统的运维管理。承担厅机关门户网站、“湖南工信”微信公众号的建设与运维管理工作；承担厅机关网络基础设施、办公终端及辅助设备等的运维管理工作；承担厅机关网络安全、计算机保密技术支持与管理工作；承担厅机关软件正版化管理工作；承担“工信部视频会议专线”、省委、省政府“党政专线”等的技术保障工作；承担厅机关“互联网+政务服务”、“互联网+监管”等的技术支持工作；承担厅机关重大活动、重要会议的图片信息采编工作；完成领导交办的其他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numPr>
          <w:ilvl w:val="0"/>
          <w:numId w:val="0"/>
        </w:numPr>
        <w:snapToGrid w:val="0"/>
        <w:spacing w:line="52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eastAsia="zh-CN"/>
        </w:rPr>
        <w:t>省经信委信息中心内</w:t>
      </w:r>
      <w:r>
        <w:rPr>
          <w:rFonts w:hint="eastAsia" w:asciiTheme="minorEastAsia" w:hAnsiTheme="minorEastAsia"/>
          <w:bCs/>
          <w:kern w:val="0"/>
          <w:sz w:val="32"/>
          <w:szCs w:val="32"/>
          <w:lang w:val="en-US" w:eastAsia="zh-CN"/>
        </w:rPr>
        <w:t>设综合科和技术科两个内设机构。</w:t>
      </w:r>
    </w:p>
    <w:p>
      <w:pPr>
        <w:numPr>
          <w:ilvl w:val="0"/>
          <w:numId w:val="0"/>
        </w:numPr>
        <w:snapToGrid w:val="0"/>
        <w:spacing w:line="520" w:lineRule="exact"/>
        <w:ind w:firstLine="640" w:firstLineChars="200"/>
        <w:rPr>
          <w:rFonts w:hint="eastAsia" w:asciiTheme="minorEastAsia" w:hAnsiTheme="minorEastAsia"/>
          <w:bCs/>
          <w:kern w:val="0"/>
          <w:sz w:val="32"/>
          <w:szCs w:val="32"/>
          <w:lang w:eastAsia="zh-CN"/>
        </w:rPr>
      </w:pPr>
      <w:r>
        <w:rPr>
          <w:rFonts w:hint="eastAsia" w:asciiTheme="minorEastAsia" w:hAnsiTheme="minorEastAsia"/>
          <w:bCs/>
          <w:kern w:val="0"/>
          <w:sz w:val="32"/>
          <w:szCs w:val="32"/>
          <w:lang w:eastAsia="zh-CN"/>
        </w:rPr>
        <w:t>根据省工业和信息化厅工作安排，实行两块牌子一套人马，合署办公，与</w:t>
      </w:r>
      <w:r>
        <w:rPr>
          <w:rFonts w:hint="eastAsia" w:asciiTheme="minorEastAsia" w:hAnsiTheme="minorEastAsia"/>
          <w:bCs/>
          <w:kern w:val="0"/>
          <w:sz w:val="32"/>
          <w:szCs w:val="32"/>
          <w:lang w:val="en-US" w:eastAsia="zh-CN"/>
        </w:rPr>
        <w:t>省信息技术培训中心</w:t>
      </w:r>
      <w:r>
        <w:rPr>
          <w:rFonts w:hint="eastAsia" w:asciiTheme="minorEastAsia" w:hAnsiTheme="minorEastAsia"/>
          <w:bCs/>
          <w:kern w:val="0"/>
          <w:sz w:val="32"/>
          <w:szCs w:val="32"/>
          <w:lang w:eastAsia="zh-CN"/>
        </w:rPr>
        <w:t>统称信息中心。</w:t>
      </w:r>
      <w:r>
        <w:rPr>
          <w:rFonts w:hint="eastAsia" w:asciiTheme="minorEastAsia" w:hAnsiTheme="minorEastAsia"/>
          <w:bCs/>
          <w:kern w:val="0"/>
          <w:sz w:val="32"/>
          <w:szCs w:val="32"/>
          <w:lang w:val="en-US" w:eastAsia="zh-CN"/>
        </w:rPr>
        <w:t>省信息技术培训中心</w:t>
      </w:r>
      <w:r>
        <w:rPr>
          <w:rFonts w:hint="eastAsia" w:asciiTheme="minorEastAsia" w:hAnsiTheme="minorEastAsia"/>
          <w:bCs/>
          <w:kern w:val="0"/>
          <w:sz w:val="32"/>
          <w:szCs w:val="32"/>
          <w:lang w:eastAsia="zh-CN"/>
        </w:rPr>
        <w:t>人员经费不足部分，从省经信委信息中心调剂开支。</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ind w:firstLine="640" w:firstLineChars="200"/>
        <w:rPr>
          <w:rFonts w:asciiTheme="minorEastAsia" w:hAnsiTheme="minorEastAsia"/>
          <w:bCs/>
          <w:kern w:val="0"/>
          <w:sz w:val="32"/>
          <w:szCs w:val="32"/>
        </w:rPr>
      </w:pPr>
      <w:r>
        <w:rPr>
          <w:rFonts w:hint="eastAsia" w:ascii="宋体" w:hAnsi="宋体" w:eastAsia="宋体" w:cs="宋体"/>
          <w:sz w:val="32"/>
          <w:szCs w:val="32"/>
          <w:lang w:val="en-US" w:eastAsia="zh-CN"/>
        </w:rPr>
        <w:t>2020年部门决算公开单位构成即</w:t>
      </w:r>
      <w:r>
        <w:rPr>
          <w:rFonts w:hint="eastAsia" w:asciiTheme="minorEastAsia" w:hAnsiTheme="minorEastAsia"/>
          <w:bCs/>
          <w:kern w:val="0"/>
          <w:sz w:val="32"/>
          <w:szCs w:val="32"/>
          <w:lang w:eastAsia="zh-CN"/>
        </w:rPr>
        <w:t>湖南省经信委信息中心。</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3745" w:type="dxa"/>
        <w:tblInd w:w="93" w:type="dxa"/>
        <w:tblLayout w:type="fixed"/>
        <w:tblCellMar>
          <w:top w:w="0" w:type="dxa"/>
          <w:left w:w="108" w:type="dxa"/>
          <w:bottom w:w="0" w:type="dxa"/>
          <w:right w:w="108" w:type="dxa"/>
        </w:tblCellMar>
      </w:tblPr>
      <w:tblGrid>
        <w:gridCol w:w="4126"/>
        <w:gridCol w:w="449"/>
        <w:gridCol w:w="631"/>
        <w:gridCol w:w="697"/>
        <w:gridCol w:w="782"/>
        <w:gridCol w:w="3096"/>
        <w:gridCol w:w="1157"/>
        <w:gridCol w:w="970"/>
        <w:gridCol w:w="657"/>
        <w:gridCol w:w="1180"/>
      </w:tblGrid>
      <w:tr>
        <w:tblPrEx>
          <w:tblCellMar>
            <w:top w:w="0" w:type="dxa"/>
            <w:left w:w="108" w:type="dxa"/>
            <w:bottom w:w="0" w:type="dxa"/>
            <w:right w:w="108" w:type="dxa"/>
          </w:tblCellMar>
        </w:tblPrEx>
        <w:trPr>
          <w:trHeight w:val="360" w:hRule="atLeast"/>
        </w:trPr>
        <w:tc>
          <w:tcPr>
            <w:tcW w:w="13745"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2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湖南省经信委信息中心</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78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22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8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6685"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7060"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11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0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15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80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11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0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15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80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223.65</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一、一般公共服务支出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kern w:val="0"/>
                <w:sz w:val="22"/>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二、外交支出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三、国防支出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四、公共安全支出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五、教育支出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六、科学技术支出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highlight w:val="none"/>
              </w:rPr>
            </w:pPr>
            <w:r>
              <w:rPr>
                <w:rFonts w:hint="eastAsia" w:ascii="宋体" w:hAnsi="宋体" w:eastAsia="宋体" w:cs="宋体"/>
                <w:i w:val="0"/>
                <w:iCs w:val="0"/>
                <w:color w:val="000000"/>
                <w:kern w:val="0"/>
                <w:sz w:val="20"/>
                <w:szCs w:val="20"/>
                <w:highlight w:val="none"/>
                <w:u w:val="none"/>
                <w:lang w:val="en-US" w:eastAsia="zh-CN" w:bidi="ar"/>
              </w:rPr>
              <w:t>七、文化旅游体育与传媒支出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0"/>
                <w:szCs w:val="20"/>
                <w:highlight w:val="none"/>
                <w:u w:val="none"/>
                <w:lang w:val="en-US" w:eastAsia="zh-CN" w:bidi="ar"/>
              </w:rPr>
              <w:t>0.00</w:t>
            </w: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八、社会保障和就业支出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39</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szCs w:val="22"/>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26.00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9</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九、卫生健康支出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10</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十、节能环保支出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41</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11</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十一、城乡社区支出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42</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12</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十二、农林水支出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43</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13</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十三、交通运输支出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44</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14</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45</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182.65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15</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46</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16</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十六、金融支出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47</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17</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48</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18</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49</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19</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十九、住房保障支出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kern w:val="0"/>
                <w:sz w:val="22"/>
                <w:szCs w:val="22"/>
                <w:lang w:val="en-US" w:eastAsia="zh-CN" w:bidi="ar-SA"/>
              </w:rPr>
            </w:pPr>
            <w:r>
              <w:rPr>
                <w:rFonts w:hint="eastAsia" w:ascii="宋体" w:hAnsi="宋体" w:eastAsia="宋体" w:cs="宋体"/>
                <w:i w:val="0"/>
                <w:iCs w:val="0"/>
                <w:color w:val="000000"/>
                <w:kern w:val="0"/>
                <w:sz w:val="20"/>
                <w:szCs w:val="20"/>
                <w:u w:val="none"/>
                <w:lang w:val="en-US" w:eastAsia="zh-CN" w:bidi="ar"/>
              </w:rPr>
              <w:t>15.00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20</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51</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21</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52</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53</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bCs/>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23</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二十三、其他支出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54</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bCs/>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55</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bCs/>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56</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bCs/>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0"/>
                <w:szCs w:val="20"/>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lang w:val="en-US" w:eastAsia="zh-CN"/>
              </w:rPr>
            </w:pP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57</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hint="default" w:ascii="宋体" w:hAnsi="宋体" w:eastAsia="宋体" w:cs="宋体"/>
                <w:b/>
                <w:bCs/>
                <w:kern w:val="0"/>
                <w:sz w:val="22"/>
                <w:lang w:val="en-US" w:eastAsia="zh-CN"/>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27</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0"/>
                <w:szCs w:val="20"/>
                <w:u w:val="none"/>
                <w:lang w:val="en-US" w:eastAsia="zh-CN" w:bidi="ar"/>
              </w:rPr>
              <w:t>223.65</w:t>
            </w: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58</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kern w:val="0"/>
                <w:sz w:val="22"/>
                <w:lang w:val="en-US" w:eastAsia="zh-CN"/>
              </w:rPr>
            </w:pPr>
            <w:r>
              <w:rPr>
                <w:rFonts w:hint="eastAsia" w:ascii="宋体" w:hAnsi="宋体" w:eastAsia="宋体" w:cs="宋体"/>
                <w:b/>
                <w:bCs/>
                <w:i w:val="0"/>
                <w:iCs w:val="0"/>
                <w:color w:val="000000"/>
                <w:kern w:val="0"/>
                <w:sz w:val="20"/>
                <w:szCs w:val="20"/>
                <w:u w:val="none"/>
                <w:lang w:val="en-US" w:eastAsia="zh-CN" w:bidi="ar"/>
              </w:rPr>
              <w:t>223.65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28</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结余分配</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59</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29</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09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年末结转和结余</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60</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30</w:t>
            </w:r>
          </w:p>
        </w:tc>
        <w:tc>
          <w:tcPr>
            <w:tcW w:w="2110"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p>
        </w:tc>
        <w:tc>
          <w:tcPr>
            <w:tcW w:w="3096"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61</w:t>
            </w:r>
          </w:p>
        </w:tc>
        <w:tc>
          <w:tcPr>
            <w:tcW w:w="2807"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211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223.65</w:t>
            </w:r>
          </w:p>
        </w:tc>
        <w:tc>
          <w:tcPr>
            <w:tcW w:w="309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总计</w:t>
            </w:r>
          </w:p>
        </w:tc>
        <w:tc>
          <w:tcPr>
            <w:tcW w:w="11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280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223.65</w:t>
            </w:r>
          </w:p>
        </w:tc>
      </w:tr>
      <w:tr>
        <w:tblPrEx>
          <w:tblCellMar>
            <w:top w:w="0" w:type="dxa"/>
            <w:left w:w="108" w:type="dxa"/>
            <w:bottom w:w="0" w:type="dxa"/>
            <w:right w:w="108" w:type="dxa"/>
          </w:tblCellMar>
        </w:tblPrEx>
        <w:trPr>
          <w:trHeight w:val="1020" w:hRule="atLeast"/>
        </w:trPr>
        <w:tc>
          <w:tcPr>
            <w:tcW w:w="13745"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428" w:type="dxa"/>
        <w:tblInd w:w="0" w:type="dxa"/>
        <w:tblLayout w:type="fixed"/>
        <w:tblCellMar>
          <w:top w:w="0" w:type="dxa"/>
          <w:left w:w="0" w:type="dxa"/>
          <w:bottom w:w="0" w:type="dxa"/>
          <w:right w:w="0" w:type="dxa"/>
        </w:tblCellMar>
      </w:tblPr>
      <w:tblGrid>
        <w:gridCol w:w="505"/>
        <w:gridCol w:w="427"/>
        <w:gridCol w:w="4469"/>
        <w:gridCol w:w="1702"/>
        <w:gridCol w:w="1637"/>
        <w:gridCol w:w="1530"/>
        <w:gridCol w:w="1102"/>
        <w:gridCol w:w="1102"/>
        <w:gridCol w:w="1416"/>
        <w:gridCol w:w="1538"/>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5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2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4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540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部门：湖南省经信委信息中心</w:t>
            </w:r>
          </w:p>
          <w:p>
            <w:pPr>
              <w:jc w:val="right"/>
              <w:rPr>
                <w:rFonts w:ascii="宋体" w:hAnsi="宋体" w:eastAsia="宋体" w:cs="宋体"/>
                <w:sz w:val="24"/>
                <w:szCs w:val="24"/>
              </w:rPr>
            </w:pPr>
            <w:r>
              <w:rPr>
                <w:rFonts w:hint="eastAsia"/>
              </w:rPr>
              <w:t>　</w:t>
            </w:r>
          </w:p>
        </w:tc>
        <w:tc>
          <w:tcPr>
            <w:tcW w:w="17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3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540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1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4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53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93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4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93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46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3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0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3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40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3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1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53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540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lang w:val="en-US" w:eastAsia="zh-CN"/>
              </w:rPr>
              <w:t>223.65</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lang w:val="en-US" w:eastAsia="zh-CN"/>
              </w:rPr>
              <w:t>223.65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208</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社会保障和就业支出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eastAsia="zh-CN"/>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20805</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行政事业单位养老支出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2080505</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机关事业单位基本养老保险缴费支出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26</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215</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资源勘探工业信息等支出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182.65</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182.65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21505</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b/>
                <w:bCs/>
                <w:sz w:val="24"/>
                <w:szCs w:val="24"/>
              </w:rPr>
            </w:pPr>
            <w:r>
              <w:rPr>
                <w:rFonts w:hint="eastAsia"/>
                <w:b/>
                <w:bCs/>
              </w:rPr>
              <w:t>工业和信息产业监管</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182.65</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182.65</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2150501</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行政运行</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4.32</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4.32</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2150599</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rPr>
            </w:pPr>
            <w:r>
              <w:rPr>
                <w:rFonts w:hint="eastAsia"/>
              </w:rPr>
              <w:t>其他工业和信息产业监管支出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178.33</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178.33</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b/>
                <w:bCs/>
              </w:rPr>
            </w:pPr>
            <w:r>
              <w:rPr>
                <w:rFonts w:hint="eastAsia"/>
                <w:b/>
                <w:bCs/>
              </w:rPr>
              <w:t>221</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b/>
                <w:bCs/>
              </w:rPr>
            </w:pPr>
            <w:r>
              <w:rPr>
                <w:rFonts w:hint="eastAsia"/>
                <w:b/>
                <w:bCs/>
              </w:rPr>
              <w:t>住房保障支出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b/>
                <w:bCs/>
              </w:rPr>
            </w:pPr>
            <w:r>
              <w:rPr>
                <w:rFonts w:hint="eastAsia"/>
                <w:b/>
                <w:bCs/>
              </w:rPr>
              <w:t>22102</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b/>
                <w:bCs/>
              </w:rPr>
            </w:pPr>
            <w:r>
              <w:rPr>
                <w:rFonts w:hint="eastAsia"/>
                <w:b/>
                <w:bCs/>
              </w:rPr>
              <w:t>住房改革支出</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rPr>
            </w:pPr>
            <w:r>
              <w:rPr>
                <w:rFonts w:hint="eastAsia" w:ascii="宋体" w:hAnsi="宋体" w:eastAsia="宋体" w:cs="宋体"/>
              </w:rPr>
              <w:t>0.00</w:t>
            </w:r>
          </w:p>
        </w:tc>
      </w:tr>
      <w:tr>
        <w:tblPrEx>
          <w:tblCellMar>
            <w:top w:w="0" w:type="dxa"/>
            <w:left w:w="0" w:type="dxa"/>
            <w:bottom w:w="0" w:type="dxa"/>
            <w:right w:w="0" w:type="dxa"/>
          </w:tblCellMar>
        </w:tblPrEx>
        <w:trPr>
          <w:trHeight w:val="450" w:hRule="atLeast"/>
        </w:trPr>
        <w:tc>
          <w:tcPr>
            <w:tcW w:w="93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2210201</w:t>
            </w:r>
          </w:p>
        </w:tc>
        <w:tc>
          <w:tcPr>
            <w:tcW w:w="44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住房公积金</w:t>
            </w:r>
          </w:p>
        </w:tc>
        <w:tc>
          <w:tcPr>
            <w:tcW w:w="17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6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rPr>
              <w:t>15</w:t>
            </w:r>
            <w:r>
              <w:rPr>
                <w:rFonts w:hint="eastAsia" w:ascii="宋体" w:hAnsi="宋体" w:eastAsia="宋体" w:cs="宋体"/>
                <w:lang w:val="en-US" w:eastAsia="zh-CN"/>
              </w:rPr>
              <w:t>.00</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lang w:val="en-US"/>
              </w:rPr>
            </w:pPr>
            <w:r>
              <w:rPr>
                <w:rFonts w:hint="eastAsia" w:ascii="宋体" w:hAnsi="宋体" w:eastAsia="宋体" w:cs="宋体"/>
                <w:lang w:val="en-US" w:eastAsia="zh-CN"/>
              </w:rPr>
              <w:t>0.00</w:t>
            </w:r>
          </w:p>
        </w:tc>
        <w:tc>
          <w:tcPr>
            <w:tcW w:w="11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rPr>
            </w:pPr>
            <w:r>
              <w:rPr>
                <w:rFonts w:hint="eastAsia" w:ascii="宋体" w:hAnsi="宋体" w:eastAsia="宋体" w:cs="宋体"/>
              </w:rPr>
              <w:t>0.00</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rPr>
            </w:pPr>
            <w:r>
              <w:rPr>
                <w:rFonts w:hint="eastAsia" w:ascii="宋体" w:hAnsi="宋体" w:eastAsia="宋体" w:cs="宋体"/>
              </w:rPr>
              <w:t>0.00</w:t>
            </w:r>
          </w:p>
        </w:tc>
        <w:tc>
          <w:tcPr>
            <w:tcW w:w="153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rPr>
            </w:pPr>
            <w:r>
              <w:rPr>
                <w:rFonts w:hint="eastAsia" w:ascii="宋体" w:hAnsi="宋体" w:eastAsia="宋体" w:cs="宋体"/>
              </w:rPr>
              <w:t>0.00</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6"/>
        <w:tblW w:w="15521" w:type="dxa"/>
        <w:tblInd w:w="93" w:type="dxa"/>
        <w:tblLayout w:type="fixed"/>
        <w:tblCellMar>
          <w:top w:w="0" w:type="dxa"/>
          <w:left w:w="108" w:type="dxa"/>
          <w:bottom w:w="0" w:type="dxa"/>
          <w:right w:w="108" w:type="dxa"/>
        </w:tblCellMar>
      </w:tblPr>
      <w:tblGrid>
        <w:gridCol w:w="1042"/>
        <w:gridCol w:w="222"/>
        <w:gridCol w:w="2138"/>
        <w:gridCol w:w="193"/>
        <w:gridCol w:w="436"/>
        <w:gridCol w:w="771"/>
        <w:gridCol w:w="307"/>
        <w:gridCol w:w="496"/>
        <w:gridCol w:w="597"/>
        <w:gridCol w:w="1315"/>
        <w:gridCol w:w="1003"/>
        <w:gridCol w:w="632"/>
        <w:gridCol w:w="435"/>
        <w:gridCol w:w="1573"/>
        <w:gridCol w:w="129"/>
        <w:gridCol w:w="1265"/>
        <w:gridCol w:w="629"/>
        <w:gridCol w:w="765"/>
        <w:gridCol w:w="1573"/>
      </w:tblGrid>
      <w:tr>
        <w:tblPrEx>
          <w:tblCellMar>
            <w:top w:w="0" w:type="dxa"/>
            <w:left w:w="108" w:type="dxa"/>
            <w:bottom w:w="0" w:type="dxa"/>
            <w:right w:w="108" w:type="dxa"/>
          </w:tblCellMar>
        </w:tblPrEx>
        <w:trPr>
          <w:gridAfter w:val="2"/>
          <w:wAfter w:w="2338" w:type="dxa"/>
          <w:trHeight w:val="435" w:hRule="atLeast"/>
        </w:trPr>
        <w:tc>
          <w:tcPr>
            <w:tcW w:w="13183" w:type="dxa"/>
            <w:gridSpan w:val="17"/>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2"/>
          <w:wAfter w:w="2338" w:type="dxa"/>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3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7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2"/>
          <w:wAfter w:w="2338" w:type="dxa"/>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538" w:type="dxa"/>
            <w:gridSpan w:val="4"/>
            <w:tcBorders>
              <w:top w:val="nil"/>
              <w:left w:val="nil"/>
              <w:bottom w:val="nil"/>
              <w:right w:val="nil"/>
            </w:tcBorders>
            <w:shd w:val="clear" w:color="000000" w:fill="FFFFFF"/>
            <w:noWrap/>
            <w:vAlign w:val="center"/>
          </w:tcPr>
          <w:p>
            <w:pPr>
              <w:widowControl/>
              <w:jc w:val="both"/>
              <w:rPr>
                <w:rFonts w:hint="eastAsia" w:ascii="宋体" w:hAnsi="宋体" w:eastAsia="宋体" w:cs="宋体"/>
                <w:kern w:val="0"/>
                <w:sz w:val="24"/>
                <w:szCs w:val="24"/>
              </w:rPr>
            </w:pPr>
            <w:r>
              <w:rPr>
                <w:rFonts w:hint="eastAsia" w:ascii="宋体" w:hAnsi="宋体" w:eastAsia="宋体" w:cs="宋体"/>
                <w:color w:val="000000"/>
                <w:kern w:val="0"/>
                <w:sz w:val="20"/>
                <w:szCs w:val="20"/>
              </w:rPr>
              <w:t>湖南省经信委信息中心</w:t>
            </w:r>
            <w:r>
              <w:rPr>
                <w:rFonts w:hint="eastAsia" w:ascii="宋体" w:hAnsi="宋体" w:eastAsia="宋体" w:cs="宋体"/>
                <w:kern w:val="0"/>
                <w:sz w:val="24"/>
                <w:szCs w:val="24"/>
              </w:rPr>
              <w:t>　</w:t>
            </w:r>
          </w:p>
          <w:p>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7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2"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2"/>
          <w:wAfter w:w="2338" w:type="dxa"/>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0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0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07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0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9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2"/>
          <w:wAfter w:w="2338" w:type="dxa"/>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3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7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2338" w:type="dxa"/>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0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0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1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07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0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94"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2"/>
          <w:wAfter w:w="2338" w:type="dxa"/>
          <w:trHeight w:val="450" w:hRule="atLeast"/>
        </w:trPr>
        <w:tc>
          <w:tcPr>
            <w:tcW w:w="340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223.65</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223.65</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208</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社会保障和就业支出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26.00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26.00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615"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20805</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行政事业单位养老支出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26.00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26.00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2080505</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机关事业单位基本养老保险缴费支出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26.00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26.00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215</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资源勘探工业信息等支出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182.65</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182.65</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21505</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工业和信息产业监管</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182.65</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182.65</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2150501</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行政运行</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4.32</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4.32</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2150599</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其他工业和信息产业监管支出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178.33</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178.33</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221</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住房保障支出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15.00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15.00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22102</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住房改革支出</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15.00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15.00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2210201</w:t>
            </w:r>
          </w:p>
        </w:tc>
        <w:tc>
          <w:tcPr>
            <w:tcW w:w="213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住房公积金</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15.00</w:t>
            </w:r>
          </w:p>
        </w:tc>
        <w:tc>
          <w:tcPr>
            <w:tcW w:w="1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15.00</w:t>
            </w:r>
          </w:p>
        </w:tc>
        <w:tc>
          <w:tcPr>
            <w:tcW w:w="131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207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c>
          <w:tcPr>
            <w:tcW w:w="18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2"/>
          <w:wAfter w:w="2338" w:type="dxa"/>
          <w:trHeight w:val="630" w:hRule="atLeast"/>
        </w:trPr>
        <w:tc>
          <w:tcPr>
            <w:tcW w:w="13183" w:type="dxa"/>
            <w:gridSpan w:val="17"/>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285" w:hRule="atLeast"/>
        </w:trPr>
        <w:tc>
          <w:tcPr>
            <w:tcW w:w="3595" w:type="dxa"/>
            <w:gridSpan w:val="4"/>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3"/>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4"/>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rPr>
          <w:trHeight w:val="360" w:hRule="atLeast"/>
        </w:trPr>
        <w:tc>
          <w:tcPr>
            <w:tcW w:w="15521" w:type="dxa"/>
            <w:gridSpan w:val="1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rPr>
          <w:trHeight w:val="300" w:hRule="atLeast"/>
        </w:trPr>
        <w:tc>
          <w:tcPr>
            <w:tcW w:w="359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部门：湖南省经信委信息中心</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217"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7</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8</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9</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10</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0"/>
                <w:szCs w:val="20"/>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11</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12</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13</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14</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182.65</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182.65</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15</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16</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17</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18</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19</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20</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21</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23</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27</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28</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29</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411" w:type="dxa"/>
            <w:gridSpan w:val="4"/>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30</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411" w:type="dxa"/>
            <w:gridSpan w:val="4"/>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31</w:t>
            </w:r>
          </w:p>
        </w:tc>
        <w:tc>
          <w:tcPr>
            <w:tcW w:w="1078"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0.00</w:t>
            </w:r>
          </w:p>
        </w:tc>
        <w:tc>
          <w:tcPr>
            <w:tcW w:w="3411" w:type="dxa"/>
            <w:gridSpan w:val="4"/>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4"/>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kern w:val="0"/>
                <w:sz w:val="22"/>
              </w:rPr>
            </w:pPr>
            <w:r>
              <w:rPr>
                <w:rFonts w:hint="eastAsia" w:ascii="宋体" w:hAnsi="宋体" w:eastAsia="宋体" w:cs="宋体"/>
                <w:b/>
                <w:bCs/>
                <w:i w:val="0"/>
                <w:iCs w:val="0"/>
                <w:color w:val="000000"/>
                <w:kern w:val="0"/>
                <w:sz w:val="20"/>
                <w:szCs w:val="20"/>
                <w:u w:val="none"/>
                <w:lang w:val="en-US" w:eastAsia="zh-CN" w:bidi="ar"/>
              </w:rPr>
              <w:t>总计</w:t>
            </w:r>
          </w:p>
        </w:tc>
        <w:tc>
          <w:tcPr>
            <w:tcW w:w="4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32</w:t>
            </w:r>
          </w:p>
        </w:tc>
        <w:tc>
          <w:tcPr>
            <w:tcW w:w="10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3411"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kern w:val="0"/>
                <w:sz w:val="22"/>
              </w:rPr>
            </w:pPr>
            <w:r>
              <w:rPr>
                <w:rFonts w:hint="eastAsia" w:ascii="宋体" w:hAnsi="宋体" w:eastAsia="宋体" w:cs="宋体"/>
                <w:b/>
                <w:bCs/>
                <w:i w:val="0"/>
                <w:iCs w:val="0"/>
                <w:color w:val="000000"/>
                <w:kern w:val="0"/>
                <w:sz w:val="20"/>
                <w:szCs w:val="20"/>
                <w:u w:val="none"/>
                <w:lang w:val="en-US" w:eastAsia="zh-CN" w:bidi="ar"/>
              </w:rPr>
              <w:t>总计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64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223.65</w:t>
            </w:r>
          </w:p>
        </w:tc>
        <w:tc>
          <w:tcPr>
            <w:tcW w:w="1394"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585" w:hRule="atLeast"/>
        </w:trPr>
        <w:tc>
          <w:tcPr>
            <w:tcW w:w="15521" w:type="dxa"/>
            <w:gridSpan w:val="1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湖南省经信委信息中心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3935" w:type="dxa"/>
        <w:jc w:val="center"/>
        <w:tblLayout w:type="autofit"/>
        <w:tblCellMar>
          <w:top w:w="0" w:type="dxa"/>
          <w:left w:w="108" w:type="dxa"/>
          <w:bottom w:w="0" w:type="dxa"/>
          <w:right w:w="108" w:type="dxa"/>
        </w:tblCellMar>
      </w:tblPr>
      <w:tblGrid>
        <w:gridCol w:w="1200"/>
        <w:gridCol w:w="3527"/>
        <w:gridCol w:w="3191"/>
        <w:gridCol w:w="3301"/>
        <w:gridCol w:w="2716"/>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08"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19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16"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9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16"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9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30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16"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19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0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716"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223.65</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223.65</w:t>
            </w:r>
          </w:p>
        </w:tc>
        <w:tc>
          <w:tcPr>
            <w:tcW w:w="2716"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26.00</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26.00</w:t>
            </w:r>
          </w:p>
        </w:tc>
        <w:tc>
          <w:tcPr>
            <w:tcW w:w="2716"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26.00</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26.00</w:t>
            </w:r>
          </w:p>
        </w:tc>
        <w:tc>
          <w:tcPr>
            <w:tcW w:w="2716"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26.00</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26.00</w:t>
            </w:r>
          </w:p>
        </w:tc>
        <w:tc>
          <w:tcPr>
            <w:tcW w:w="2716"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资源勘探工业信息等支出</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182.65</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182.65</w:t>
            </w:r>
          </w:p>
        </w:tc>
        <w:tc>
          <w:tcPr>
            <w:tcW w:w="2716"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21505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工业和信息产业监管</w:t>
            </w:r>
          </w:p>
        </w:tc>
        <w:tc>
          <w:tcPr>
            <w:tcW w:w="31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182.65</w:t>
            </w:r>
          </w:p>
        </w:tc>
        <w:tc>
          <w:tcPr>
            <w:tcW w:w="330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182.65</w:t>
            </w:r>
          </w:p>
        </w:tc>
        <w:tc>
          <w:tcPr>
            <w:tcW w:w="2716"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2150501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31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4.32</w:t>
            </w:r>
          </w:p>
        </w:tc>
        <w:tc>
          <w:tcPr>
            <w:tcW w:w="330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4.32</w:t>
            </w:r>
          </w:p>
        </w:tc>
        <w:tc>
          <w:tcPr>
            <w:tcW w:w="271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2150599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其他工业和信息产业监管支出</w:t>
            </w:r>
          </w:p>
        </w:tc>
        <w:tc>
          <w:tcPr>
            <w:tcW w:w="31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178.33</w:t>
            </w:r>
          </w:p>
        </w:tc>
        <w:tc>
          <w:tcPr>
            <w:tcW w:w="330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178.33</w:t>
            </w:r>
          </w:p>
        </w:tc>
        <w:tc>
          <w:tcPr>
            <w:tcW w:w="271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住房保障支出</w:t>
            </w:r>
          </w:p>
        </w:tc>
        <w:tc>
          <w:tcPr>
            <w:tcW w:w="31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15.00</w:t>
            </w:r>
          </w:p>
        </w:tc>
        <w:tc>
          <w:tcPr>
            <w:tcW w:w="330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15.00</w:t>
            </w:r>
          </w:p>
        </w:tc>
        <w:tc>
          <w:tcPr>
            <w:tcW w:w="271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住房改革支出</w:t>
            </w:r>
          </w:p>
        </w:tc>
        <w:tc>
          <w:tcPr>
            <w:tcW w:w="31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15.00</w:t>
            </w:r>
          </w:p>
        </w:tc>
        <w:tc>
          <w:tcPr>
            <w:tcW w:w="330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0"/>
                <w:szCs w:val="20"/>
                <w:u w:val="none"/>
                <w:lang w:val="en-US" w:eastAsia="zh-CN" w:bidi="ar"/>
              </w:rPr>
              <w:t>15.00</w:t>
            </w:r>
          </w:p>
        </w:tc>
        <w:tc>
          <w:tcPr>
            <w:tcW w:w="271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319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15.00</w:t>
            </w:r>
          </w:p>
        </w:tc>
        <w:tc>
          <w:tcPr>
            <w:tcW w:w="330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0"/>
                <w:szCs w:val="20"/>
                <w:u w:val="none"/>
                <w:lang w:val="en-US" w:eastAsia="zh-CN" w:bidi="ar"/>
              </w:rPr>
              <w:t>15.00</w:t>
            </w:r>
          </w:p>
        </w:tc>
        <w:tc>
          <w:tcPr>
            <w:tcW w:w="271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rPr>
              <w:t>0.00</w:t>
            </w:r>
          </w:p>
        </w:tc>
      </w:tr>
      <w:tr>
        <w:tblPrEx>
          <w:tblCellMar>
            <w:top w:w="0" w:type="dxa"/>
            <w:left w:w="108" w:type="dxa"/>
            <w:bottom w:w="0" w:type="dxa"/>
            <w:right w:w="108" w:type="dxa"/>
          </w:tblCellMar>
        </w:tblPrEx>
        <w:trPr>
          <w:trHeight w:val="645" w:hRule="atLeast"/>
          <w:jc w:val="center"/>
        </w:trPr>
        <w:tc>
          <w:tcPr>
            <w:tcW w:w="13935"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15979" w:type="dxa"/>
        <w:tblInd w:w="0" w:type="dxa"/>
        <w:tblLayout w:type="fixed"/>
        <w:tblCellMar>
          <w:top w:w="0" w:type="dxa"/>
          <w:left w:w="108" w:type="dxa"/>
          <w:bottom w:w="0" w:type="dxa"/>
          <w:right w:w="108" w:type="dxa"/>
        </w:tblCellMar>
      </w:tblPr>
      <w:tblGrid>
        <w:gridCol w:w="1070"/>
        <w:gridCol w:w="3130"/>
        <w:gridCol w:w="1020"/>
        <w:gridCol w:w="1113"/>
        <w:gridCol w:w="2653"/>
        <w:gridCol w:w="921"/>
        <w:gridCol w:w="1063"/>
        <w:gridCol w:w="3962"/>
        <w:gridCol w:w="1047"/>
      </w:tblGrid>
      <w:tr>
        <w:tblPrEx>
          <w:tblCellMar>
            <w:top w:w="0" w:type="dxa"/>
            <w:left w:w="108" w:type="dxa"/>
            <w:bottom w:w="0" w:type="dxa"/>
            <w:right w:w="108" w:type="dxa"/>
          </w:tblCellMar>
        </w:tblPrEx>
        <w:trPr>
          <w:trHeight w:val="113" w:hRule="atLeast"/>
        </w:trPr>
        <w:tc>
          <w:tcPr>
            <w:tcW w:w="15979"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宋体" w:hAnsi="宋体" w:eastAsia="宋体" w:cs="宋体"/>
                <w:color w:val="000000"/>
                <w:kern w:val="0"/>
                <w:sz w:val="20"/>
                <w:szCs w:val="20"/>
              </w:rPr>
              <w:t>湖南省经信委信息中心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6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工资福利支出</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166.53</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商品和服务支出</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55.79</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307</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30101</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38.60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30201</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1.88</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30701</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30102</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9.92</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30202</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30702</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30103</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奖金</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35.37</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30203</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资本性支出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0.87</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30106</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6.37</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30204</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31001</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30107</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31.05</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30205</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水费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31002</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0.87</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30108</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10.47</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30206</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电费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31003</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30109</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30207</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6.60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31005</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30110</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7.13</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30208</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31006</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30111</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7.58</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30209</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31007</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30112</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2.71</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30211</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0.92</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31008</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30113</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14.30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30212</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31009</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30114</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30213</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25.88</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31010</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30199</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3.04</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30214</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31011</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0.46</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30215</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31012</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30301</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30216</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31013</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30302</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0.46</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30217</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31019</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30303</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30218</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31021</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30304</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30224</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31022</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30305</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30225</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31099</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30306</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30226</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399</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其他支出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30307</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30227</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39906</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赠与</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30308</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30228</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7.66</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39907</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30309</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30229</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0.50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39908</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30310</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30231</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39999</w:t>
            </w:r>
          </w:p>
        </w:tc>
        <w:tc>
          <w:tcPr>
            <w:tcW w:w="396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30311</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30239</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11.56</w:t>
            </w:r>
          </w:p>
        </w:tc>
        <w:tc>
          <w:tcPr>
            <w:tcW w:w="106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962"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104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30399</w:t>
            </w:r>
          </w:p>
        </w:tc>
        <w:tc>
          <w:tcPr>
            <w:tcW w:w="3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30240</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0.00</w:t>
            </w:r>
          </w:p>
        </w:tc>
        <w:tc>
          <w:tcPr>
            <w:tcW w:w="106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962"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104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070"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130"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1020"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1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30299</w:t>
            </w:r>
          </w:p>
        </w:tc>
        <w:tc>
          <w:tcPr>
            <w:tcW w:w="26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92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0.80</w:t>
            </w:r>
          </w:p>
        </w:tc>
        <w:tc>
          <w:tcPr>
            <w:tcW w:w="1063"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3962"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104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2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人员经费合计</w:t>
            </w:r>
          </w:p>
        </w:tc>
        <w:tc>
          <w:tcPr>
            <w:tcW w:w="1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166.99</w:t>
            </w:r>
          </w:p>
        </w:tc>
        <w:tc>
          <w:tcPr>
            <w:tcW w:w="9712" w:type="dxa"/>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0"/>
                <w:szCs w:val="20"/>
                <w:u w:val="none"/>
                <w:lang w:val="en-US" w:eastAsia="zh-CN" w:bidi="ar"/>
              </w:rPr>
              <w:t>公用经费合计</w:t>
            </w:r>
          </w:p>
        </w:tc>
        <w:tc>
          <w:tcPr>
            <w:tcW w:w="10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0"/>
                <w:szCs w:val="20"/>
                <w:u w:val="none"/>
                <w:lang w:val="en-US" w:eastAsia="zh-CN" w:bidi="ar"/>
              </w:rPr>
              <w:t>56.66</w:t>
            </w:r>
          </w:p>
        </w:tc>
      </w:tr>
      <w:tr>
        <w:tblPrEx>
          <w:tblCellMar>
            <w:top w:w="0" w:type="dxa"/>
            <w:left w:w="108" w:type="dxa"/>
            <w:bottom w:w="0" w:type="dxa"/>
            <w:right w:w="108" w:type="dxa"/>
          </w:tblCellMar>
        </w:tblPrEx>
        <w:trPr>
          <w:trHeight w:val="284" w:hRule="exact"/>
        </w:trPr>
        <w:tc>
          <w:tcPr>
            <w:tcW w:w="15979"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万元。与上年</w:t>
      </w:r>
      <w:r>
        <w:rPr>
          <w:rFonts w:hint="eastAsia" w:asciiTheme="minorEastAsia" w:hAnsiTheme="minorEastAsia" w:eastAsiaTheme="minorEastAsia"/>
          <w:sz w:val="32"/>
          <w:szCs w:val="32"/>
          <w:lang w:val="en-US" w:eastAsia="zh-CN"/>
        </w:rPr>
        <w:t>185.95万</w:t>
      </w:r>
      <w:r>
        <w:rPr>
          <w:rFonts w:hint="eastAsia" w:asciiTheme="minorEastAsia" w:hAnsiTheme="minorEastAsia" w:eastAsiaTheme="minorEastAsia"/>
          <w:sz w:val="32"/>
          <w:szCs w:val="32"/>
        </w:rPr>
        <w:t>相比，增加</w:t>
      </w:r>
      <w:r>
        <w:rPr>
          <w:rFonts w:hint="eastAsia" w:asciiTheme="minorEastAsia" w:hAnsiTheme="minorEastAsia" w:eastAsiaTheme="minorEastAsia"/>
          <w:sz w:val="32"/>
          <w:szCs w:val="32"/>
          <w:lang w:val="en-US" w:eastAsia="zh-CN"/>
        </w:rPr>
        <w:t>37.7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20.27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上年增人增资的人员经费。</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本年收入合计223.65万元，其中：财政拨款收入</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rPr>
          <w:rFonts w:hAnsi="黑体"/>
          <w:b/>
          <w:sz w:val="32"/>
          <w:szCs w:val="32"/>
        </w:rPr>
      </w:pPr>
      <w:r>
        <w:rPr>
          <w:rFonts w:hint="eastAsia" w:asciiTheme="minorEastAsia" w:hAnsiTheme="minorEastAsia" w:eastAsiaTheme="minorEastAsia"/>
          <w:sz w:val="32"/>
          <w:szCs w:val="32"/>
        </w:rPr>
        <w:t xml:space="preserve">    2020年度财政拨款收、支总计</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万元，与上年</w:t>
      </w:r>
      <w:r>
        <w:rPr>
          <w:rFonts w:hint="eastAsia" w:asciiTheme="minorEastAsia" w:hAnsiTheme="minorEastAsia" w:eastAsiaTheme="minorEastAsia"/>
          <w:sz w:val="32"/>
          <w:szCs w:val="32"/>
          <w:lang w:val="en-US" w:eastAsia="zh-CN"/>
        </w:rPr>
        <w:t>185.95万</w:t>
      </w:r>
      <w:r>
        <w:rPr>
          <w:rFonts w:hint="eastAsia" w:asciiTheme="minorEastAsia" w:hAnsiTheme="minorEastAsia" w:eastAsiaTheme="minorEastAsia"/>
          <w:sz w:val="32"/>
          <w:szCs w:val="32"/>
        </w:rPr>
        <w:t>相比，增加</w:t>
      </w:r>
      <w:r>
        <w:rPr>
          <w:rFonts w:hint="eastAsia" w:asciiTheme="minorEastAsia" w:hAnsiTheme="minorEastAsia" w:eastAsiaTheme="minorEastAsia"/>
          <w:sz w:val="32"/>
          <w:szCs w:val="32"/>
          <w:lang w:val="en-US" w:eastAsia="zh-CN"/>
        </w:rPr>
        <w:t>37.7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20.27</w:t>
      </w:r>
      <w:r>
        <w:rPr>
          <w:rFonts w:hint="eastAsia" w:asciiTheme="minorEastAsia" w:hAnsiTheme="minorEastAsia" w:eastAsiaTheme="minorEastAsia"/>
          <w:sz w:val="32"/>
          <w:szCs w:val="32"/>
        </w:rPr>
        <w:t>%，主</w:t>
      </w:r>
      <w:r>
        <w:rPr>
          <w:rFonts w:hint="eastAsia" w:asciiTheme="minorEastAsia" w:hAnsiTheme="minorEastAsia" w:eastAsiaTheme="minorEastAsia"/>
          <w:sz w:val="32"/>
          <w:szCs w:val="32"/>
          <w:lang w:val="en-US" w:eastAsia="zh-CN"/>
        </w:rPr>
        <w:t>要是因为年中追加4.32万元，为湘财企指[2020]91号文追加的2019年省直部门综治奖与2020年省直部门绩效奖综治奖预安排；年中压减4万元，为湘财企指[2020]42号文压减2020年部分单位一般性支出。</w:t>
      </w: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185.95万</w:t>
      </w:r>
      <w:r>
        <w:rPr>
          <w:rFonts w:hint="eastAsia" w:asciiTheme="minorEastAsia" w:hAnsiTheme="minorEastAsia" w:eastAsiaTheme="minorEastAsia"/>
          <w:sz w:val="32"/>
          <w:szCs w:val="32"/>
        </w:rPr>
        <w:t>相比，财政拨款支出增加</w:t>
      </w:r>
      <w:r>
        <w:rPr>
          <w:rFonts w:hint="eastAsia" w:asciiTheme="minorEastAsia" w:hAnsiTheme="minorEastAsia" w:eastAsiaTheme="minorEastAsia"/>
          <w:sz w:val="32"/>
          <w:szCs w:val="32"/>
          <w:lang w:val="en-US" w:eastAsia="zh-CN"/>
        </w:rPr>
        <w:t>37.7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20.27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年中追加4.32万元，为湘财企指[2020]91号文追加的2019年省直部门综治奖与2020年省直部门绩效奖综治奖预安排；年中压减4万元，为湘财企指[2020]42号文压减2020年部分单位一般性支出。</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万元，主要用于以下方面：社会保障和就业支出（类）支出</w:t>
      </w:r>
      <w:r>
        <w:rPr>
          <w:rFonts w:hint="eastAsia" w:asciiTheme="minorEastAsia" w:hAnsiTheme="minorEastAsia" w:eastAsiaTheme="minorEastAsia"/>
          <w:sz w:val="32"/>
          <w:szCs w:val="32"/>
          <w:lang w:val="en-US" w:eastAsia="zh-CN"/>
        </w:rPr>
        <w:t>26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11.63</w:t>
      </w:r>
      <w:r>
        <w:rPr>
          <w:rFonts w:hint="eastAsia" w:asciiTheme="minorEastAsia" w:hAnsiTheme="minorEastAsia" w:eastAsiaTheme="minorEastAsia"/>
          <w:sz w:val="32"/>
          <w:szCs w:val="32"/>
        </w:rPr>
        <w:t>%；资源勘探工业信息等支出（类）支出</w:t>
      </w:r>
      <w:r>
        <w:rPr>
          <w:rFonts w:hint="eastAsia" w:asciiTheme="minorEastAsia" w:hAnsiTheme="minorEastAsia" w:eastAsiaTheme="minorEastAsia"/>
          <w:sz w:val="32"/>
          <w:szCs w:val="32"/>
          <w:lang w:val="en-US" w:eastAsia="zh-CN"/>
        </w:rPr>
        <w:t>182.65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占81.67%；住房保障支出15万，占6.71%。</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2020年度财政拨款支出年初预算数为</w:t>
      </w:r>
      <w:r>
        <w:rPr>
          <w:rFonts w:hint="eastAsia" w:asciiTheme="minorEastAsia" w:hAnsiTheme="minorEastAsia" w:eastAsiaTheme="minorEastAsia"/>
          <w:sz w:val="32"/>
          <w:szCs w:val="32"/>
          <w:highlight w:val="none"/>
          <w:lang w:val="en-US" w:eastAsia="zh-CN"/>
        </w:rPr>
        <w:t>223.33</w:t>
      </w:r>
      <w:r>
        <w:rPr>
          <w:rFonts w:hint="eastAsia" w:asciiTheme="minorEastAsia" w:hAnsiTheme="minorEastAsia" w:eastAsiaTheme="minorEastAsia"/>
          <w:sz w:val="32"/>
          <w:szCs w:val="32"/>
          <w:highlight w:val="none"/>
        </w:rPr>
        <w:t>万元，支出决算数为</w:t>
      </w:r>
      <w:r>
        <w:rPr>
          <w:rFonts w:hint="eastAsia" w:asciiTheme="minorEastAsia" w:hAnsiTheme="minorEastAsia" w:eastAsiaTheme="minorEastAsia"/>
          <w:sz w:val="32"/>
          <w:szCs w:val="32"/>
          <w:highlight w:val="none"/>
          <w:lang w:val="en-US" w:eastAsia="zh-CN"/>
        </w:rPr>
        <w:t>223.65</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100.14</w:t>
      </w:r>
      <w:r>
        <w:rPr>
          <w:rFonts w:hint="eastAsia" w:asciiTheme="minorEastAsia" w:hAnsiTheme="minorEastAsia" w:eastAsiaTheme="minorEastAsia"/>
          <w:sz w:val="32"/>
          <w:szCs w:val="32"/>
          <w:highlight w:val="none"/>
        </w:rPr>
        <w:t>%，其中：</w:t>
      </w:r>
    </w:p>
    <w:p>
      <w:pPr>
        <w:pStyle w:val="10"/>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1、社会保障和就业支出（类）行政事业单位养老支出（款）机关事业单位基本养老保险缴费支出（项）。</w:t>
      </w:r>
    </w:p>
    <w:p>
      <w:pPr>
        <w:pStyle w:val="10"/>
        <w:ind w:firstLine="800" w:firstLineChars="25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26</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26</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p>
    <w:p>
      <w:pPr>
        <w:pStyle w:val="10"/>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2、资源勘探工业信息等支出（类）工业和信息产业监管（款）行政运行（项）。</w:t>
      </w:r>
    </w:p>
    <w:p>
      <w:pPr>
        <w:pStyle w:val="10"/>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4.32</w:t>
      </w:r>
      <w:r>
        <w:rPr>
          <w:rFonts w:hint="eastAsia" w:asciiTheme="minorEastAsia" w:hAnsiTheme="minorEastAsia" w:eastAsiaTheme="minorEastAsia"/>
          <w:sz w:val="32"/>
          <w:szCs w:val="32"/>
          <w:highlight w:val="none"/>
        </w:rPr>
        <w:t>万元，决算数大于年初预算数的原因</w:t>
      </w:r>
      <w:r>
        <w:rPr>
          <w:rFonts w:hint="eastAsia" w:asciiTheme="minorEastAsia" w:hAnsiTheme="minorEastAsia" w:eastAsiaTheme="minorEastAsia"/>
          <w:sz w:val="32"/>
          <w:szCs w:val="32"/>
          <w:highlight w:val="none"/>
          <w:lang w:val="en-US" w:eastAsia="zh-CN"/>
        </w:rPr>
        <w:t>是年中追加4.32万元，为湘财企指[2020]91号文追加的2019年省直部门综治奖与2020年省直部门绩效奖综治奖预安排。</w:t>
      </w:r>
    </w:p>
    <w:p>
      <w:pPr>
        <w:pStyle w:val="10"/>
        <w:numPr>
          <w:ilvl w:val="0"/>
          <w:numId w:val="3"/>
        </w:numPr>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资源勘探工业信息等支出（类）工业和信息产业监管（款）    其他工业和信息产业监管支出（项）。</w:t>
      </w:r>
    </w:p>
    <w:p>
      <w:pPr>
        <w:pStyle w:val="10"/>
        <w:ind w:firstLine="800" w:firstLineChars="25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 xml:space="preserve"> </w:t>
      </w: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182.33</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178.33</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97.8</w:t>
      </w:r>
      <w:r>
        <w:rPr>
          <w:rFonts w:hint="eastAsia" w:asciiTheme="minorEastAsia" w:hAnsiTheme="minorEastAsia" w:eastAsiaTheme="minorEastAsia"/>
          <w:sz w:val="32"/>
          <w:szCs w:val="32"/>
          <w:highlight w:val="none"/>
        </w:rPr>
        <w:t>%，决算数小于年初预算数的主要原因是</w:t>
      </w:r>
      <w:r>
        <w:rPr>
          <w:rFonts w:hint="eastAsia" w:asciiTheme="minorEastAsia" w:hAnsiTheme="minorEastAsia" w:eastAsiaTheme="minorEastAsia"/>
          <w:sz w:val="32"/>
          <w:szCs w:val="32"/>
          <w:highlight w:val="none"/>
          <w:lang w:eastAsia="zh-CN"/>
        </w:rPr>
        <w:t>当年节约压减开支。</w:t>
      </w:r>
    </w:p>
    <w:p>
      <w:pPr>
        <w:pStyle w:val="10"/>
        <w:numPr>
          <w:ilvl w:val="0"/>
          <w:numId w:val="3"/>
        </w:numPr>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住房保障支出（类）住房改革支出（款）住房公积金（项）。</w:t>
      </w:r>
    </w:p>
    <w:p>
      <w:pPr>
        <w:pStyle w:val="10"/>
        <w:ind w:firstLine="800" w:firstLineChars="25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val="en-US" w:eastAsia="zh-CN"/>
        </w:rPr>
        <w:t xml:space="preserve">  </w:t>
      </w: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15</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15</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p>
    <w:p>
      <w:pPr>
        <w:pStyle w:val="10"/>
        <w:rPr>
          <w:rFonts w:hAnsi="黑体"/>
          <w:b/>
          <w:sz w:val="32"/>
          <w:szCs w:val="32"/>
        </w:rPr>
      </w:pPr>
      <w:r>
        <w:rPr>
          <w:rFonts w:hint="eastAsia" w:hAnsi="黑体"/>
          <w:b/>
          <w:sz w:val="32"/>
          <w:szCs w:val="32"/>
        </w:rPr>
        <w:t>六、一般公共预算财政拨款基本支出决算情况说明</w:t>
      </w:r>
    </w:p>
    <w:p>
      <w:pPr>
        <w:numPr>
          <w:ilvl w:val="0"/>
          <w:numId w:val="0"/>
        </w:numPr>
        <w:snapToGrid w:val="0"/>
        <w:spacing w:line="520" w:lineRule="exact"/>
        <w:ind w:firstLine="640" w:firstLineChars="200"/>
        <w:rPr>
          <w:rFonts w:hint="default" w:ascii="仿宋_GB2312" w:hAnsi="仿宋" w:eastAsia="仿宋_GB2312"/>
          <w:sz w:val="32"/>
          <w:szCs w:val="32"/>
          <w:lang w:val="en-US" w:eastAsia="zh-CN"/>
        </w:rPr>
      </w:pPr>
      <w:r>
        <w:rPr>
          <w:rFonts w:hint="eastAsia" w:asciiTheme="minorEastAsia" w:hAnsiTheme="minorEastAsia" w:eastAsiaTheme="minorEastAsia"/>
          <w:sz w:val="32"/>
          <w:szCs w:val="32"/>
        </w:rPr>
        <w:t>2020年度财政拨款基本支出</w:t>
      </w:r>
      <w:r>
        <w:rPr>
          <w:rFonts w:hint="eastAsia" w:asciiTheme="minorEastAsia" w:hAnsiTheme="minorEastAsia" w:eastAsiaTheme="minorEastAsia"/>
          <w:sz w:val="32"/>
          <w:szCs w:val="32"/>
          <w:lang w:val="en-US" w:eastAsia="zh-CN"/>
        </w:rPr>
        <w:t>223.65</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166.99</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74.7</w:t>
      </w:r>
      <w:r>
        <w:rPr>
          <w:rFonts w:hint="eastAsia" w:asciiTheme="minorEastAsia" w:hAnsiTheme="minorEastAsia" w:eastAsiaTheme="minorEastAsia"/>
          <w:sz w:val="32"/>
          <w:szCs w:val="32"/>
        </w:rPr>
        <w:t>%,主要包括基本工资、津贴补贴、奖金、伙食补助费</w:t>
      </w:r>
      <w:r>
        <w:rPr>
          <w:rFonts w:hint="eastAsia" w:asciiTheme="minorEastAsia" w:hAnsiTheme="minorEastAsia"/>
          <w:sz w:val="32"/>
          <w:szCs w:val="32"/>
          <w:lang w:eastAsia="zh-CN"/>
        </w:rPr>
        <w:t>，其中，</w:t>
      </w:r>
      <w:r>
        <w:rPr>
          <w:rFonts w:hint="eastAsia" w:asciiTheme="minorEastAsia" w:hAnsiTheme="minorEastAsia"/>
          <w:bCs/>
          <w:kern w:val="0"/>
          <w:sz w:val="32"/>
          <w:szCs w:val="32"/>
          <w:lang w:val="en-US" w:eastAsia="zh-CN"/>
        </w:rPr>
        <w:t>省信息技术培训中心</w:t>
      </w:r>
      <w:r>
        <w:rPr>
          <w:rFonts w:hint="eastAsia" w:asciiTheme="minorEastAsia" w:hAnsiTheme="minorEastAsia"/>
          <w:bCs/>
          <w:kern w:val="0"/>
          <w:sz w:val="32"/>
          <w:szCs w:val="32"/>
          <w:lang w:eastAsia="zh-CN"/>
        </w:rPr>
        <w:t>人员经费不足部分，从省经信委信息中心调剂开支</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56.66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25.3</w:t>
      </w:r>
      <w:r>
        <w:rPr>
          <w:rFonts w:hint="eastAsia" w:asciiTheme="minorEastAsia" w:hAnsiTheme="minorEastAsia" w:eastAsiaTheme="minorEastAsia"/>
          <w:sz w:val="32"/>
          <w:szCs w:val="32"/>
        </w:rPr>
        <w:t>%，主要包括办公费、</w:t>
      </w:r>
      <w:r>
        <w:rPr>
          <w:rFonts w:hint="eastAsia" w:asciiTheme="minorEastAsia" w:hAnsiTheme="minorEastAsia"/>
          <w:sz w:val="32"/>
          <w:szCs w:val="32"/>
          <w:lang w:eastAsia="zh-CN"/>
        </w:rPr>
        <w:t>邮电费、维修维护</w:t>
      </w:r>
      <w:r>
        <w:rPr>
          <w:rFonts w:hint="eastAsia" w:asciiTheme="minorEastAsia" w:hAnsiTheme="minorEastAsia" w:eastAsiaTheme="minorEastAsia"/>
          <w:sz w:val="32"/>
          <w:szCs w:val="32"/>
        </w:rPr>
        <w:t>费</w:t>
      </w:r>
      <w:r>
        <w:rPr>
          <w:rFonts w:hint="eastAsia" w:asciiTheme="minorEastAsia" w:hAnsiTheme="minorEastAsia"/>
          <w:sz w:val="32"/>
          <w:szCs w:val="32"/>
          <w:lang w:eastAsia="zh-CN"/>
        </w:rPr>
        <w:t>等</w:t>
      </w:r>
      <w:r>
        <w:rPr>
          <w:rFonts w:hint="eastAsia" w:ascii="仿宋_GB2312" w:hAnsi="仿宋" w:eastAsia="仿宋_GB2312"/>
          <w:sz w:val="32"/>
          <w:szCs w:val="32"/>
          <w:lang w:val="en-US" w:eastAsia="zh-CN"/>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“三公”经费财政拨款支出预算为0万元，支出决算为0万元，完成预算的100%，其中：</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因公出国（境）费支出预算为0万元，支出决算为0万元，。</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公务接待费支出预算为0万元，支出决算为0万元。</w:t>
      </w:r>
    </w:p>
    <w:p>
      <w:pPr>
        <w:pStyle w:val="10"/>
        <w:ind w:firstLine="640" w:firstLineChars="200"/>
        <w:rPr>
          <w:rFonts w:hint="eastAsia" w:ascii="仿宋" w:hAnsi="仿宋" w:eastAsia="仿宋" w:cs="仿宋"/>
          <w:sz w:val="32"/>
          <w:szCs w:val="32"/>
          <w:lang w:val="en-US" w:eastAsia="zh-CN"/>
        </w:rPr>
      </w:pPr>
      <w:r>
        <w:rPr>
          <w:rFonts w:hint="eastAsia" w:asciiTheme="minorEastAsia" w:hAnsiTheme="minorEastAsia" w:eastAsiaTheme="minorEastAsia"/>
          <w:sz w:val="32"/>
          <w:szCs w:val="32"/>
          <w:lang w:val="en-US" w:eastAsia="zh-CN"/>
        </w:rPr>
        <w:t>公务用车购置费及运行维护费支出预算为0万元，支出决算为0万元。</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2020年度“三公”经费财政拨款支出决算中，公务接待费支出决算0万元，因公出国（境）费支出决算0万元，公务用车购置费及运行维护费支出决算0万元。本中心无公务用车，本年也未购置公务用车。</w:t>
      </w:r>
      <w:bookmarkStart w:id="3" w:name="_GoBack"/>
      <w:bookmarkEnd w:id="3"/>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 xml:space="preserve"> 2020年度本单位无政府性基金收支。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万元，比上年决算数</w:t>
      </w:r>
      <w:r>
        <w:rPr>
          <w:rFonts w:hint="eastAsia" w:asciiTheme="minorEastAsia" w:hAnsiTheme="minorEastAsia" w:eastAsiaTheme="minorEastAsia"/>
          <w:sz w:val="32"/>
          <w:szCs w:val="32"/>
          <w:lang w:eastAsia="zh-CN"/>
        </w:rPr>
        <w:t>相同</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；举办……等节庆、晚会、论坛、赛事活动，开支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截至2020年12月31日，本单位共有车辆0辆；单位价值50万元以上通用设备0台（套）；单位价值100万元以上专用设备0台（套）。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4月22日至4月23日，为推进全过程绩效管理，强化支出责任意识，提高财政资金使用效益和管理水平，根据《湖南省财政厅关于开展2020年度部门绩效自评工作的通知》（湘财绩〔2021〕1号）精神，本单位认真组织开展了2020年度部门整体支出绩效自评工作。</w:t>
      </w:r>
      <w:r>
        <w:rPr>
          <w:rFonts w:hint="eastAsia" w:asciiTheme="minorEastAsia" w:hAnsiTheme="minorEastAsia" w:eastAsiaTheme="minorEastAsia"/>
          <w:sz w:val="32"/>
          <w:szCs w:val="32"/>
          <w:lang w:eastAsia="zh-CN"/>
        </w:rPr>
        <w:t>根据基础数据分析计算，本单位</w:t>
      </w:r>
      <w:r>
        <w:rPr>
          <w:rFonts w:hint="eastAsia" w:asciiTheme="minorEastAsia" w:hAnsiTheme="minorEastAsia" w:eastAsiaTheme="minorEastAsia"/>
          <w:sz w:val="32"/>
          <w:szCs w:val="32"/>
          <w:lang w:val="en-US" w:eastAsia="zh-CN"/>
        </w:rPr>
        <w:t>2020</w:t>
      </w:r>
      <w:r>
        <w:rPr>
          <w:rFonts w:hint="eastAsia" w:asciiTheme="minorEastAsia" w:hAnsiTheme="minorEastAsia" w:eastAsiaTheme="minorEastAsia"/>
          <w:sz w:val="32"/>
          <w:szCs w:val="32"/>
          <w:lang w:eastAsia="zh-CN"/>
        </w:rPr>
        <w:t>年度部门整体支出自评价综合得分为</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lang w:eastAsia="zh-CN"/>
        </w:rPr>
        <w:t>分。整体绩效评价附后。</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numPr>
          <w:ilvl w:val="0"/>
          <w:numId w:val="4"/>
        </w:numPr>
        <w:ind w:left="0" w:leftChars="0" w:firstLine="560" w:firstLineChars="20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基本支出：指为保障机构正常运转、完成日常工作任务而发生的各项支出，包括人员支出和公用支出。</w:t>
      </w:r>
    </w:p>
    <w:p>
      <w:pPr>
        <w:numPr>
          <w:ilvl w:val="0"/>
          <w:numId w:val="4"/>
        </w:numPr>
        <w:ind w:left="0" w:leftChars="0" w:firstLine="560" w:firstLineChars="20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lang w:eastAsia="zh-CN"/>
        </w:rPr>
        <w:t>项目支出：</w:t>
      </w:r>
      <w:r>
        <w:rPr>
          <w:rFonts w:hint="eastAsia" w:cs="黑体" w:asciiTheme="minorEastAsia" w:hAnsiTheme="minorEastAsia"/>
          <w:color w:val="000000"/>
          <w:kern w:val="0"/>
          <w:sz w:val="28"/>
          <w:szCs w:val="28"/>
        </w:rPr>
        <w:t>指在基本支出以外为完成相关行政任务和事业发展目标所发生的各项支出。 </w:t>
      </w:r>
      <w:r>
        <w:rPr>
          <w:rFonts w:hint="eastAsia" w:cs="黑体" w:asciiTheme="minorEastAsia" w:hAnsiTheme="minorEastAsia"/>
          <w:color w:val="000000"/>
          <w:kern w:val="0"/>
          <w:sz w:val="28"/>
          <w:szCs w:val="28"/>
          <w:lang w:val="en-US" w:eastAsia="zh-CN"/>
        </w:rPr>
        <w:t xml:space="preserve">  </w:t>
      </w:r>
    </w:p>
    <w:p>
      <w:pPr>
        <w:numPr>
          <w:ilvl w:val="0"/>
          <w:numId w:val="4"/>
        </w:numPr>
        <w:ind w:left="0" w:leftChars="0" w:firstLine="560" w:firstLineChars="200"/>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“三公”经费：指通过财政拨款资金安排的因公出国（境）费、公务用车购置及运行费和公务接待费支出。</w:t>
      </w:r>
    </w:p>
    <w:p>
      <w:pPr>
        <w:pStyle w:val="2"/>
        <w:ind w:firstLine="560" w:firstLineChars="200"/>
        <w:rPr>
          <w:rFonts w:hint="eastAsia" w:cs="黑体" w:asciiTheme="minorEastAsia" w:hAnsiTheme="minorEastAsia"/>
          <w:color w:val="000000"/>
          <w:kern w:val="0"/>
          <w:sz w:val="28"/>
          <w:szCs w:val="28"/>
        </w:rPr>
      </w:pPr>
      <w:r>
        <w:rPr>
          <w:rFonts w:hint="eastAsia" w:cs="黑体" w:asciiTheme="minorEastAsia" w:hAnsiTheme="minorEastAsia" w:eastAsiaTheme="minorEastAsia"/>
          <w:color w:val="000000"/>
          <w:kern w:val="0"/>
          <w:sz w:val="28"/>
          <w:szCs w:val="28"/>
          <w:lang w:val="en-US" w:eastAsia="zh-CN" w:bidi="ar-SA"/>
        </w:rPr>
        <w:t>四、机关运行经费：是指各部门的公用经费，包括办公及印刷费、邮电费、差旅费、会议费、福利费、日常维修费、专用材料及一般设备购置费、办公用房水电费、办公用房取暖费、办公用房物业管理费、公务用车运行维护费以及其他费用。 </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both"/>
        <w:rPr>
          <w:rFonts w:cs="黑体" w:asciiTheme="minorEastAsia" w:hAnsiTheme="minorEastAsia"/>
          <w:b w:val="0"/>
          <w:bCs/>
          <w:color w:val="000000"/>
          <w:kern w:val="0"/>
          <w:sz w:val="32"/>
          <w:szCs w:val="32"/>
        </w:rPr>
      </w:pPr>
      <w:r>
        <w:rPr>
          <w:rFonts w:hint="eastAsia" w:cs="黑体" w:asciiTheme="minorEastAsia" w:hAnsiTheme="minorEastAsia"/>
          <w:b w:val="0"/>
          <w:bCs/>
          <w:color w:val="000000"/>
          <w:kern w:val="0"/>
          <w:sz w:val="32"/>
          <w:szCs w:val="32"/>
          <w:lang w:eastAsia="zh-CN"/>
        </w:rPr>
        <w:t>附件</w:t>
      </w:r>
      <w:r>
        <w:rPr>
          <w:rFonts w:hint="eastAsia" w:cs="黑体" w:asciiTheme="minorEastAsia" w:hAnsiTheme="minorEastAsia"/>
          <w:b w:val="0"/>
          <w:bCs/>
          <w:color w:val="000000"/>
          <w:kern w:val="0"/>
          <w:sz w:val="32"/>
          <w:szCs w:val="32"/>
          <w:lang w:val="en-US" w:eastAsia="zh-CN"/>
        </w:rPr>
        <w:t>1：</w:t>
      </w:r>
      <w:r>
        <w:rPr>
          <w:rFonts w:hint="eastAsia" w:cs="黑体" w:asciiTheme="minorEastAsia" w:hAnsiTheme="minorEastAsia"/>
          <w:b w:val="0"/>
          <w:bCs/>
          <w:color w:val="000000"/>
          <w:kern w:val="0"/>
          <w:sz w:val="32"/>
          <w:szCs w:val="32"/>
        </w:rPr>
        <w:t>2020年度部门整体支出绩效评价报告</w:t>
      </w:r>
    </w:p>
    <w:p>
      <w:pPr>
        <w:ind w:firstLine="640" w:firstLineChars="200"/>
        <w:jc w:val="both"/>
        <w:rPr>
          <w:rFonts w:hint="eastAsia" w:cs="黑体" w:asciiTheme="minorEastAsia" w:hAnsiTheme="minorEastAsia"/>
          <w:b w:val="0"/>
          <w:bCs/>
          <w:color w:val="000000"/>
          <w:kern w:val="0"/>
          <w:sz w:val="32"/>
          <w:szCs w:val="32"/>
          <w:lang w:val="en-US" w:eastAsia="zh-CN"/>
        </w:rPr>
      </w:pPr>
      <w:r>
        <w:rPr>
          <w:rFonts w:hint="eastAsia" w:cs="黑体" w:asciiTheme="minorEastAsia" w:hAnsiTheme="minorEastAsia"/>
          <w:b w:val="0"/>
          <w:bCs/>
          <w:color w:val="000000"/>
          <w:kern w:val="0"/>
          <w:sz w:val="32"/>
          <w:szCs w:val="32"/>
          <w:lang w:eastAsia="zh-CN"/>
        </w:rPr>
        <w:t>附件</w:t>
      </w:r>
      <w:r>
        <w:rPr>
          <w:rFonts w:hint="eastAsia" w:cs="黑体" w:asciiTheme="minorEastAsia" w:hAnsiTheme="minorEastAsia"/>
          <w:b w:val="0"/>
          <w:bCs/>
          <w:color w:val="000000"/>
          <w:kern w:val="0"/>
          <w:sz w:val="32"/>
          <w:szCs w:val="32"/>
          <w:lang w:val="en-US" w:eastAsia="zh-CN"/>
        </w:rPr>
        <w:t>2：基础数据表</w:t>
      </w:r>
    </w:p>
    <w:p>
      <w:pPr>
        <w:ind w:firstLine="640" w:firstLineChars="200"/>
        <w:jc w:val="both"/>
        <w:rPr>
          <w:rFonts w:hint="eastAsia" w:cs="黑体" w:asciiTheme="minorEastAsia" w:hAnsiTheme="minorEastAsia"/>
          <w:b w:val="0"/>
          <w:bCs/>
          <w:color w:val="000000"/>
          <w:kern w:val="0"/>
          <w:sz w:val="32"/>
          <w:szCs w:val="32"/>
          <w:lang w:val="en-US" w:eastAsia="zh-CN"/>
        </w:rPr>
      </w:pPr>
      <w:r>
        <w:rPr>
          <w:rFonts w:hint="eastAsia" w:cs="黑体" w:asciiTheme="minorEastAsia" w:hAnsiTheme="minorEastAsia"/>
          <w:b w:val="0"/>
          <w:bCs/>
          <w:color w:val="000000"/>
          <w:kern w:val="0"/>
          <w:sz w:val="32"/>
          <w:szCs w:val="32"/>
          <w:lang w:eastAsia="zh-CN"/>
        </w:rPr>
        <w:t>附件</w:t>
      </w:r>
      <w:r>
        <w:rPr>
          <w:rFonts w:hint="eastAsia" w:cs="黑体" w:asciiTheme="minorEastAsia" w:hAnsiTheme="minorEastAsia"/>
          <w:b w:val="0"/>
          <w:bCs/>
          <w:color w:val="000000"/>
          <w:kern w:val="0"/>
          <w:sz w:val="32"/>
          <w:szCs w:val="32"/>
          <w:lang w:val="en-US" w:eastAsia="zh-CN"/>
        </w:rPr>
        <w:t>3：部门整体支出绩效自评表</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3A6A1"/>
    <w:multiLevelType w:val="singleLevel"/>
    <w:tmpl w:val="9693A6A1"/>
    <w:lvl w:ilvl="0" w:tentative="0">
      <w:start w:val="2"/>
      <w:numFmt w:val="chineseCounting"/>
      <w:suff w:val="nothing"/>
      <w:lvlText w:val="（%1）"/>
      <w:lvlJc w:val="left"/>
      <w:rPr>
        <w:rFonts w:hint="eastAsia"/>
      </w:rPr>
    </w:lvl>
  </w:abstractNum>
  <w:abstractNum w:abstractNumId="1">
    <w:nsid w:val="EEA4A266"/>
    <w:multiLevelType w:val="singleLevel"/>
    <w:tmpl w:val="EEA4A266"/>
    <w:lvl w:ilvl="0" w:tentative="0">
      <w:start w:val="3"/>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D9E851"/>
    <w:multiLevelType w:val="singleLevel"/>
    <w:tmpl w:val="5DD9E85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zc4YmU1ZGYxNGRiODM0YWUyZWNjZmI0NDhmNmMifQ=="/>
  </w:docVars>
  <w:rsids>
    <w:rsidRoot w:val="00172A27"/>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405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0FF5CD6"/>
    <w:rsid w:val="036167BF"/>
    <w:rsid w:val="03AF2653"/>
    <w:rsid w:val="04BB6CA0"/>
    <w:rsid w:val="050B4F47"/>
    <w:rsid w:val="0678487B"/>
    <w:rsid w:val="06FE0E86"/>
    <w:rsid w:val="077818DE"/>
    <w:rsid w:val="07FF2DE9"/>
    <w:rsid w:val="099D5875"/>
    <w:rsid w:val="09B22920"/>
    <w:rsid w:val="0A0823DA"/>
    <w:rsid w:val="0A69390D"/>
    <w:rsid w:val="0AE12528"/>
    <w:rsid w:val="0DA25D2C"/>
    <w:rsid w:val="0EB748D7"/>
    <w:rsid w:val="0EC919BD"/>
    <w:rsid w:val="0F857858"/>
    <w:rsid w:val="104F1707"/>
    <w:rsid w:val="10700ADD"/>
    <w:rsid w:val="11687D67"/>
    <w:rsid w:val="13893C24"/>
    <w:rsid w:val="159B0B8F"/>
    <w:rsid w:val="161D6E0D"/>
    <w:rsid w:val="17CC1679"/>
    <w:rsid w:val="17DB0BD3"/>
    <w:rsid w:val="185E2D4D"/>
    <w:rsid w:val="1A15526C"/>
    <w:rsid w:val="1B1B7324"/>
    <w:rsid w:val="1D8E7232"/>
    <w:rsid w:val="1F5B2168"/>
    <w:rsid w:val="201E4F80"/>
    <w:rsid w:val="20CC1EB5"/>
    <w:rsid w:val="20E12D6E"/>
    <w:rsid w:val="23D50295"/>
    <w:rsid w:val="27660DBE"/>
    <w:rsid w:val="276636A6"/>
    <w:rsid w:val="276A6A7A"/>
    <w:rsid w:val="277F621F"/>
    <w:rsid w:val="28690B2A"/>
    <w:rsid w:val="28A70449"/>
    <w:rsid w:val="2A300168"/>
    <w:rsid w:val="2B0B3D38"/>
    <w:rsid w:val="2C9568F6"/>
    <w:rsid w:val="2DFA2AC2"/>
    <w:rsid w:val="2E2916B2"/>
    <w:rsid w:val="2E7C4A42"/>
    <w:rsid w:val="2F202C47"/>
    <w:rsid w:val="2F7778F7"/>
    <w:rsid w:val="30A75098"/>
    <w:rsid w:val="30B55C04"/>
    <w:rsid w:val="330E1B80"/>
    <w:rsid w:val="34074A54"/>
    <w:rsid w:val="343A7453"/>
    <w:rsid w:val="3580295B"/>
    <w:rsid w:val="36965C1E"/>
    <w:rsid w:val="390F2359"/>
    <w:rsid w:val="3A59362E"/>
    <w:rsid w:val="3B777ADC"/>
    <w:rsid w:val="3D6F502D"/>
    <w:rsid w:val="3D876CF6"/>
    <w:rsid w:val="3EAE5FE6"/>
    <w:rsid w:val="3FA73C25"/>
    <w:rsid w:val="409478F6"/>
    <w:rsid w:val="423771C3"/>
    <w:rsid w:val="43EF1B1F"/>
    <w:rsid w:val="45133CD7"/>
    <w:rsid w:val="456A7C0A"/>
    <w:rsid w:val="474C0AD4"/>
    <w:rsid w:val="47E760D1"/>
    <w:rsid w:val="4814587C"/>
    <w:rsid w:val="4B7430C9"/>
    <w:rsid w:val="4BB14337"/>
    <w:rsid w:val="5127554F"/>
    <w:rsid w:val="54426CD5"/>
    <w:rsid w:val="587F5CD4"/>
    <w:rsid w:val="5AA625B4"/>
    <w:rsid w:val="5AB96A28"/>
    <w:rsid w:val="5C650216"/>
    <w:rsid w:val="5E876655"/>
    <w:rsid w:val="5E9C1500"/>
    <w:rsid w:val="60CA5AED"/>
    <w:rsid w:val="64095FC1"/>
    <w:rsid w:val="65B152D6"/>
    <w:rsid w:val="66AF2C8B"/>
    <w:rsid w:val="67822781"/>
    <w:rsid w:val="69A54028"/>
    <w:rsid w:val="69CD6827"/>
    <w:rsid w:val="6D1527A8"/>
    <w:rsid w:val="6DE26C40"/>
    <w:rsid w:val="6DF71F51"/>
    <w:rsid w:val="6EBE7D38"/>
    <w:rsid w:val="6F8607BD"/>
    <w:rsid w:val="70E824EC"/>
    <w:rsid w:val="72485234"/>
    <w:rsid w:val="7F67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华文仿宋"/>
      <w:sz w:val="30"/>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AD695-5494-44B7-BD4E-A342C0530F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6206</Words>
  <Characters>8488</Characters>
  <Lines>61</Lines>
  <Paragraphs>17</Paragraphs>
  <TotalTime>6</TotalTime>
  <ScaleCrop>false</ScaleCrop>
  <LinksUpToDate>false</LinksUpToDate>
  <CharactersWithSpaces>9446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李凌</cp:lastModifiedBy>
  <cp:lastPrinted>2021-08-05T08:54:00Z</cp:lastPrinted>
  <dcterms:modified xsi:type="dcterms:W3CDTF">2022-09-07T01:31:00Z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42537B07B5624348BBD097E161FF5B24</vt:lpwstr>
  </property>
</Properties>
</file>