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44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52"/>
          <w:lang w:val="en-US" w:eastAsia="zh-CN"/>
        </w:rPr>
        <w:t>2020年度湖南省经信委信息中心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44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52"/>
          <w:lang w:val="en-US" w:eastAsia="zh-CN"/>
        </w:rPr>
        <w:t>部门整体支出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44"/>
          <w:szCs w:val="5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44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52"/>
          <w:lang w:val="en-US" w:eastAsia="zh-CN"/>
        </w:rPr>
        <w:t>绩效自评报告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b/>
          <w:bCs/>
          <w:sz w:val="44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52"/>
          <w:lang w:val="en-US" w:eastAsia="zh-CN"/>
        </w:rPr>
        <w:t>单位名称：湖南省经信委信息中心（盖章）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ind w:firstLine="883" w:firstLineChars="20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湖南省经信委信息中心</w:t>
      </w:r>
    </w:p>
    <w:p>
      <w:pPr>
        <w:numPr>
          <w:ilvl w:val="0"/>
          <w:numId w:val="0"/>
        </w:numPr>
        <w:ind w:firstLine="883" w:firstLineChars="20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2020年度部门整体支出绩效自评报告</w:t>
      </w:r>
    </w:p>
    <w:p>
      <w:pPr>
        <w:numPr>
          <w:ilvl w:val="0"/>
          <w:numId w:val="0"/>
        </w:numPr>
        <w:ind w:firstLine="562" w:firstLineChars="200"/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为贯彻落实《中共中央国务院关于全面实施预算绩效管理的意见》（中发〔2018〕34号）和《中共湖南省委办公厅 湖南省人民政府办公厅关于全面实施预算绩效管理的实施意见》（湘办发〔2019〕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号）文件要求，推进全过程绩效管理，强化支出责任意识，提高财政资金使用效益和管理水平，根据</w:t>
      </w:r>
      <w:r>
        <w:rPr>
          <w:rFonts w:hint="eastAsia" w:ascii="仿宋_GB2312" w:hAnsi="仿宋_GB2312" w:eastAsia="仿宋_GB2312" w:cs="仿宋_GB2312"/>
          <w:sz w:val="28"/>
          <w:szCs w:val="28"/>
        </w:rPr>
        <w:t>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湖南省财政厅关于开展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2020年度部门绩效自评工作的通知》（湘财绩〔2021〕1号）精神，本单位认真组织开展了2020年度部门整体支出绩效自评工作，现将有关情况报告如下：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一、单位基本情况</w:t>
      </w:r>
    </w:p>
    <w:p>
      <w:pPr>
        <w:numPr>
          <w:ilvl w:val="0"/>
          <w:numId w:val="0"/>
        </w:numPr>
        <w:ind w:firstLine="643" w:firstLineChars="200"/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（一）部门基本情况情况</w:t>
      </w:r>
    </w:p>
    <w:p>
      <w:pPr>
        <w:numPr>
          <w:ilvl w:val="0"/>
          <w:numId w:val="0"/>
        </w:numPr>
        <w:ind w:firstLine="56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2000</w:t>
      </w:r>
      <w:r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30</w:t>
      </w:r>
      <w:r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/>
        </w:rPr>
        <w:t>日，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《湖南省机构编制委员会办公室&lt;关于成立省经贸信息中心&gt;的复函》（湘编办函〔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2000〕82</w:t>
      </w:r>
      <w:r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/>
        </w:rPr>
        <w:t>号），湖南省经信委信息中心的全额拨款事业编制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8</w:t>
      </w:r>
      <w:r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/>
        </w:rPr>
        <w:t>名。截至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2020</w:t>
      </w:r>
      <w:r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31</w:t>
      </w:r>
      <w:r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/>
        </w:rPr>
        <w:t>日，湖南省经信委信息中心（以下简称“信息中心”）事业编制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8</w:t>
      </w:r>
      <w:r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/>
        </w:rPr>
        <w:t>人，实有在职人员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8</w:t>
      </w:r>
      <w:r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/>
        </w:rPr>
        <w:t>人。</w:t>
      </w:r>
    </w:p>
    <w:p>
      <w:pPr>
        <w:numPr>
          <w:ilvl w:val="0"/>
          <w:numId w:val="0"/>
        </w:numPr>
        <w:ind w:firstLine="643" w:firstLineChars="200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（二）部门职责</w:t>
      </w:r>
    </w:p>
    <w:p>
      <w:pPr>
        <w:numPr>
          <w:ilvl w:val="0"/>
          <w:numId w:val="0"/>
        </w:numPr>
        <w:ind w:firstLine="560"/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/>
        </w:rPr>
        <w:t>信息中心为全省经贸管理提供信息与技术服务，全省经贸信息网络的建设、运行和管理，信息技术咨询、培训。</w:t>
      </w:r>
    </w:p>
    <w:p>
      <w:pPr>
        <w:numPr>
          <w:ilvl w:val="0"/>
          <w:numId w:val="0"/>
        </w:numPr>
        <w:ind w:firstLine="643" w:firstLineChars="200"/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（三）2020年重点工作计划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、做到日常维护工作平稳有序，确保机关局域网、电话网、OA协同办公系统、业务应用系统、“互联网+政务服务”、“互联网+监管”、软件正版化、工信部公文传输专线、工信部视频会议专线等保障工作平稳有序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2、继续做好信息宣传管理，完成门户网站改版，确保厅门户网站信息发布量增长，确保“湖南工信”微信公众号各项指标数据提升；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3、持续推进国产软硬件产品适配升级，所有终端用户同时安装金山WPS和永中OFFICE办公软件，麒麟操作系统版本升级到V10版；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4、工业数据云项目推进实施，计划于2020年6月正式开工建设，规上企业基本入库，大数据平台轮廓初现，为省工业经济运行监测分析提供有力支撑。二、一般公共预算支出情况。</w:t>
      </w:r>
    </w:p>
    <w:p>
      <w:pPr>
        <w:numPr>
          <w:ilvl w:val="0"/>
          <w:numId w:val="0"/>
        </w:numPr>
        <w:ind w:firstLine="643" w:firstLineChars="200"/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（一）部门支出总体情况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2020年2月6日，《湖南省财政厅关于2020年有关省直单位部门预算的批复》（湘财预〔2020〕27号），批复信息中心2020年部门预算2,233,300.00元，其中：基本支出2,233,300.00元（均为一般公共预算财政拨款收入），无项目支出。本年财政拨款追加3,200.00元，全年实际财政拨款收入2,236,500.00元，其他收入1.46元。全年财政拨款支出2,236,500.00元，本年结转结余1.46元，累计结转结余7.99元。总体情况如下所示：</w:t>
      </w:r>
    </w:p>
    <w:p>
      <w:pPr>
        <w:spacing w:line="540" w:lineRule="exact"/>
        <w:ind w:firstLine="56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单位：元</w:t>
      </w:r>
    </w:p>
    <w:tbl>
      <w:tblPr>
        <w:tblStyle w:val="5"/>
        <w:tblW w:w="498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59"/>
        <w:gridCol w:w="1128"/>
        <w:gridCol w:w="1031"/>
        <w:gridCol w:w="1360"/>
        <w:gridCol w:w="1120"/>
        <w:gridCol w:w="1199"/>
        <w:gridCol w:w="575"/>
        <w:gridCol w:w="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tblHeader/>
        </w:trPr>
        <w:tc>
          <w:tcPr>
            <w:tcW w:w="634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项目大类</w:t>
            </w:r>
          </w:p>
        </w:tc>
        <w:tc>
          <w:tcPr>
            <w:tcW w:w="67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本年年初预算</w:t>
            </w:r>
          </w:p>
        </w:tc>
        <w:tc>
          <w:tcPr>
            <w:tcW w:w="618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本年追加</w:t>
            </w:r>
          </w:p>
        </w:tc>
        <w:tc>
          <w:tcPr>
            <w:tcW w:w="815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本年财政拨款收入小计</w:t>
            </w:r>
          </w:p>
        </w:tc>
        <w:tc>
          <w:tcPr>
            <w:tcW w:w="67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其他收入</w:t>
            </w:r>
          </w:p>
        </w:tc>
        <w:tc>
          <w:tcPr>
            <w:tcW w:w="718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本年支出</w:t>
            </w:r>
          </w:p>
        </w:tc>
        <w:tc>
          <w:tcPr>
            <w:tcW w:w="34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上年结余</w:t>
            </w:r>
          </w:p>
        </w:tc>
        <w:tc>
          <w:tcPr>
            <w:tcW w:w="519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本年累计结余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2" w:hRule="atLeast"/>
        </w:trPr>
        <w:tc>
          <w:tcPr>
            <w:tcW w:w="6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基本支出</w:t>
            </w:r>
          </w:p>
        </w:tc>
        <w:tc>
          <w:tcPr>
            <w:tcW w:w="676" w:type="pct"/>
            <w:shd w:val="clear" w:color="000000" w:fill="FFFFFF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18"/>
                <w:szCs w:val="18"/>
              </w:rPr>
              <w:t>2,233,300.00</w:t>
            </w:r>
          </w:p>
        </w:tc>
        <w:tc>
          <w:tcPr>
            <w:tcW w:w="618" w:type="pct"/>
            <w:shd w:val="clear" w:color="000000" w:fill="FFFFFF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3,200.00</w:t>
            </w:r>
          </w:p>
        </w:tc>
        <w:tc>
          <w:tcPr>
            <w:tcW w:w="815" w:type="pct"/>
            <w:shd w:val="clear" w:color="000000" w:fill="FFFFFF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2,236,500.00‬</w:t>
            </w:r>
          </w:p>
        </w:tc>
        <w:tc>
          <w:tcPr>
            <w:tcW w:w="671" w:type="pct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1.46</w:t>
            </w:r>
          </w:p>
        </w:tc>
        <w:tc>
          <w:tcPr>
            <w:tcW w:w="718" w:type="pct"/>
            <w:noWrap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2,236,500.00‬</w:t>
            </w:r>
          </w:p>
        </w:tc>
        <w:tc>
          <w:tcPr>
            <w:tcW w:w="344" w:type="pct"/>
            <w:noWrap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18"/>
                <w:szCs w:val="18"/>
                <w:lang w:val="en-US" w:eastAsia="zh-CN"/>
              </w:rPr>
              <w:t>6.53</w:t>
            </w:r>
          </w:p>
        </w:tc>
        <w:tc>
          <w:tcPr>
            <w:tcW w:w="519" w:type="pct"/>
            <w:noWrap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18"/>
                <w:szCs w:val="18"/>
                <w:lang w:val="en-US" w:eastAsia="zh-CN"/>
              </w:rPr>
              <w:t>7.99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7" w:hRule="atLeast"/>
        </w:trPr>
        <w:tc>
          <w:tcPr>
            <w:tcW w:w="634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项目支出</w:t>
            </w:r>
          </w:p>
        </w:tc>
        <w:tc>
          <w:tcPr>
            <w:tcW w:w="676" w:type="pct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pct"/>
            <w:noWrap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15" w:type="pct"/>
            <w:noWrap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18" w:type="pct"/>
            <w:noWrap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4" w:type="pct"/>
            <w:noWrap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noWrap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2" w:hRule="atLeast"/>
        </w:trPr>
        <w:tc>
          <w:tcPr>
            <w:tcW w:w="63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合计</w:t>
            </w:r>
          </w:p>
        </w:tc>
        <w:tc>
          <w:tcPr>
            <w:tcW w:w="676" w:type="pct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  <w:t>2,233,300.00</w:t>
            </w:r>
          </w:p>
        </w:tc>
        <w:tc>
          <w:tcPr>
            <w:tcW w:w="618" w:type="pct"/>
            <w:noWrap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3,200.00</w:t>
            </w:r>
          </w:p>
        </w:tc>
        <w:tc>
          <w:tcPr>
            <w:tcW w:w="815" w:type="pct"/>
            <w:noWrap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2,236,500.00‬</w:t>
            </w:r>
          </w:p>
        </w:tc>
        <w:tc>
          <w:tcPr>
            <w:tcW w:w="671" w:type="pct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1.46</w:t>
            </w:r>
          </w:p>
        </w:tc>
        <w:tc>
          <w:tcPr>
            <w:tcW w:w="718" w:type="pct"/>
            <w:noWrap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  <w:t>2,236,500.00</w:t>
            </w:r>
          </w:p>
        </w:tc>
        <w:tc>
          <w:tcPr>
            <w:tcW w:w="344" w:type="pct"/>
            <w:noWrap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18"/>
                <w:szCs w:val="18"/>
                <w:lang w:val="en-US" w:eastAsia="zh-CN"/>
              </w:rPr>
              <w:t>6.53</w:t>
            </w:r>
          </w:p>
        </w:tc>
        <w:tc>
          <w:tcPr>
            <w:tcW w:w="519" w:type="pct"/>
            <w:noWrap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18"/>
                <w:szCs w:val="18"/>
                <w:lang w:val="en-US" w:eastAsia="zh-CN"/>
              </w:rPr>
              <w:t>7.99</w:t>
            </w:r>
          </w:p>
        </w:tc>
      </w:tr>
    </w:tbl>
    <w:p>
      <w:pPr>
        <w:numPr>
          <w:ilvl w:val="0"/>
          <w:numId w:val="0"/>
        </w:numPr>
        <w:ind w:firstLine="321" w:firstLineChars="100"/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（二）基本支出情况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基本支出使用明细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基本支出主要为保障单位机构正常运转、完成日常工作任务而发生的各项支出，包括工资福利支出、对个人和家庭的补助等人员经费和办公费、邮电费、差旅费、维修费、劳务费等日常公用经费。具体明细表如下表所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3"/>
        <w:jc w:val="center"/>
        <w:textAlignment w:val="auto"/>
        <w:rPr>
          <w:rFonts w:ascii="Times New Roman" w:hAnsi="Times New Roman"/>
          <w:b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  <w:highlight w:val="none"/>
        </w:rPr>
        <w:t>20</w:t>
      </w:r>
      <w:r>
        <w:rPr>
          <w:rFonts w:hint="eastAsia" w:ascii="Times New Roman" w:hAnsi="Times New Roman"/>
          <w:b/>
          <w:sz w:val="24"/>
          <w:szCs w:val="24"/>
          <w:highlight w:val="none"/>
          <w:lang w:val="en-US" w:eastAsia="zh-CN"/>
        </w:rPr>
        <w:t>20</w:t>
      </w:r>
      <w:r>
        <w:rPr>
          <w:rFonts w:ascii="Times New Roman" w:hAnsi="Times New Roman"/>
          <w:b/>
          <w:sz w:val="24"/>
          <w:szCs w:val="24"/>
          <w:highlight w:val="none"/>
        </w:rPr>
        <w:t>年</w:t>
      </w:r>
      <w:r>
        <w:rPr>
          <w:rFonts w:hint="eastAsia" w:ascii="Times New Roman" w:hAnsi="Times New Roman"/>
          <w:b/>
          <w:sz w:val="24"/>
          <w:szCs w:val="24"/>
          <w:highlight w:val="none"/>
          <w:lang w:val="en-US" w:eastAsia="zh-CN"/>
        </w:rPr>
        <w:t>信息中心</w:t>
      </w:r>
      <w:r>
        <w:rPr>
          <w:rFonts w:ascii="Times New Roman" w:hAnsi="Times New Roman"/>
          <w:b/>
          <w:sz w:val="24"/>
          <w:szCs w:val="24"/>
          <w:highlight w:val="none"/>
        </w:rPr>
        <w:t>基本支出预算数与决算数对比表</w:t>
      </w:r>
    </w:p>
    <w:p>
      <w:pPr>
        <w:ind w:firstLine="361"/>
        <w:jc w:val="right"/>
        <w:rPr>
          <w:rFonts w:ascii="Times New Roman" w:hAnsi="Times New Roman"/>
          <w:b w:val="0"/>
          <w:bCs/>
          <w:sz w:val="18"/>
          <w:highlight w:val="none"/>
        </w:rPr>
      </w:pPr>
      <w:r>
        <w:rPr>
          <w:rFonts w:hint="eastAsia" w:ascii="Calibri" w:hAnsi="Calibri" w:eastAsia="宋体" w:cs="Times New Roman"/>
          <w:b/>
          <w:kern w:val="0"/>
          <w:sz w:val="24"/>
          <w:szCs w:val="24"/>
          <w:lang w:val="en-US" w:eastAsia="zh-CN"/>
        </w:rPr>
        <w:t>单位：元</w:t>
      </w:r>
    </w:p>
    <w:tbl>
      <w:tblPr>
        <w:tblStyle w:val="5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4"/>
        <w:gridCol w:w="1532"/>
        <w:gridCol w:w="1633"/>
        <w:gridCol w:w="163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tblHeader/>
        </w:trPr>
        <w:tc>
          <w:tcPr>
            <w:tcW w:w="21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项目</w:t>
            </w:r>
          </w:p>
        </w:tc>
        <w:tc>
          <w:tcPr>
            <w:tcW w:w="899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年初预算数</w:t>
            </w:r>
          </w:p>
        </w:tc>
        <w:tc>
          <w:tcPr>
            <w:tcW w:w="958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调整预算数</w:t>
            </w:r>
          </w:p>
        </w:tc>
        <w:tc>
          <w:tcPr>
            <w:tcW w:w="95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决算数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185" w:type="pct"/>
            <w:noWrap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工资福利支出</w:t>
            </w:r>
          </w:p>
        </w:tc>
        <w:tc>
          <w:tcPr>
            <w:tcW w:w="899" w:type="pct"/>
            <w:noWrap/>
            <w:vAlign w:val="center"/>
          </w:tcPr>
          <w:p>
            <w:pPr>
              <w:widowControl/>
              <w:jc w:val="righ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1,588,000.00</w:t>
            </w:r>
          </w:p>
        </w:tc>
        <w:tc>
          <w:tcPr>
            <w:tcW w:w="1633" w:type="dxa"/>
            <w:vAlign w:val="center"/>
          </w:tcPr>
          <w:p>
            <w:pPr>
              <w:widowControl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1,665,332.98</w:t>
            </w:r>
          </w:p>
        </w:tc>
        <w:tc>
          <w:tcPr>
            <w:tcW w:w="958" w:type="pct"/>
            <w:noWrap/>
            <w:vAlign w:val="center"/>
          </w:tcPr>
          <w:p>
            <w:pPr>
              <w:widowControl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1,665,332.98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185" w:type="pct"/>
            <w:noWrap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对个人和家庭的补助</w:t>
            </w:r>
          </w:p>
        </w:tc>
        <w:tc>
          <w:tcPr>
            <w:tcW w:w="899" w:type="pct"/>
            <w:noWrap/>
            <w:vAlign w:val="center"/>
          </w:tcPr>
          <w:p>
            <w:pPr>
              <w:widowControl/>
              <w:jc w:val="right"/>
              <w:rPr>
                <w:rFonts w:eastAsiaTheme="minor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1633" w:type="dxa"/>
            <w:vAlign w:val="center"/>
          </w:tcPr>
          <w:p>
            <w:pPr>
              <w:widowControl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4,560.00</w:t>
            </w:r>
          </w:p>
        </w:tc>
        <w:tc>
          <w:tcPr>
            <w:tcW w:w="958" w:type="pct"/>
            <w:noWrap/>
            <w:vAlign w:val="center"/>
          </w:tcPr>
          <w:p>
            <w:pPr>
              <w:widowControl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4,560.00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85" w:type="pct"/>
            <w:noWrap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人员经费小计</w:t>
            </w:r>
          </w:p>
        </w:tc>
        <w:tc>
          <w:tcPr>
            <w:tcW w:w="899" w:type="pct"/>
            <w:noWrap/>
            <w:vAlign w:val="center"/>
          </w:tcPr>
          <w:p>
            <w:pPr>
              <w:widowControl/>
              <w:jc w:val="right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Cs w:val="21"/>
              </w:rPr>
              <w:t>1,588,000.00</w:t>
            </w:r>
            <w:r>
              <w:rPr>
                <w:rFonts w:hint="eastAsia" w:ascii="MS Gothic" w:hAnsi="MS Gothic" w:eastAsia="MS Gothic" w:cs="MS Gothic"/>
                <w:b/>
                <w:bCs/>
                <w:szCs w:val="21"/>
              </w:rPr>
              <w:t>‬</w:t>
            </w:r>
          </w:p>
        </w:tc>
        <w:tc>
          <w:tcPr>
            <w:tcW w:w="958" w:type="pct"/>
            <w:vAlign w:val="center"/>
          </w:tcPr>
          <w:p>
            <w:pPr>
              <w:widowControl/>
              <w:jc w:val="right"/>
              <w:rPr>
                <w:rFonts w:hint="eastAsia" w:eastAsiaTheme="minorEastAsia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,669,892.98</w:t>
            </w:r>
          </w:p>
        </w:tc>
        <w:tc>
          <w:tcPr>
            <w:tcW w:w="958" w:type="pct"/>
            <w:noWrap/>
            <w:vAlign w:val="center"/>
          </w:tcPr>
          <w:p>
            <w:pPr>
              <w:widowControl/>
              <w:jc w:val="right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Cs w:val="21"/>
              </w:rPr>
              <w:t>1,669,892.98</w:t>
            </w:r>
            <w:r>
              <w:rPr>
                <w:rFonts w:hint="eastAsia" w:ascii="MS Gothic" w:hAnsi="MS Gothic" w:eastAsia="MS Gothic" w:cs="MS Gothic"/>
                <w:b/>
                <w:bCs/>
                <w:szCs w:val="21"/>
              </w:rPr>
              <w:t>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85" w:type="pct"/>
            <w:noWrap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商品和服务支出</w:t>
            </w:r>
          </w:p>
        </w:tc>
        <w:tc>
          <w:tcPr>
            <w:tcW w:w="899" w:type="pct"/>
            <w:noWrap/>
            <w:vAlign w:val="center"/>
          </w:tcPr>
          <w:p>
            <w:pPr>
              <w:widowControl/>
              <w:jc w:val="righ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645,300.00</w:t>
            </w:r>
          </w:p>
        </w:tc>
        <w:tc>
          <w:tcPr>
            <w:tcW w:w="1633" w:type="dxa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557,941.32</w:t>
            </w:r>
          </w:p>
        </w:tc>
        <w:tc>
          <w:tcPr>
            <w:tcW w:w="958" w:type="pct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557,941.32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85" w:type="pct"/>
            <w:noWrap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资本性支出</w:t>
            </w:r>
          </w:p>
        </w:tc>
        <w:tc>
          <w:tcPr>
            <w:tcW w:w="899" w:type="pct"/>
            <w:noWrap/>
            <w:vAlign w:val="center"/>
          </w:tcPr>
          <w:p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8,665.70</w:t>
            </w:r>
          </w:p>
        </w:tc>
        <w:tc>
          <w:tcPr>
            <w:tcW w:w="958" w:type="pct"/>
            <w:noWrap/>
            <w:vAlign w:val="center"/>
          </w:tcPr>
          <w:p>
            <w:pPr>
              <w:widowControl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8,665.70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185" w:type="pct"/>
            <w:noWrap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日常公用经费小计</w:t>
            </w:r>
          </w:p>
        </w:tc>
        <w:tc>
          <w:tcPr>
            <w:tcW w:w="899" w:type="pct"/>
            <w:noWrap/>
            <w:vAlign w:val="center"/>
          </w:tcPr>
          <w:p>
            <w:pPr>
              <w:widowControl/>
              <w:jc w:val="right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Cs w:val="21"/>
              </w:rPr>
              <w:t>645,300.00</w:t>
            </w:r>
          </w:p>
        </w:tc>
        <w:tc>
          <w:tcPr>
            <w:tcW w:w="958" w:type="pct"/>
            <w:vAlign w:val="center"/>
          </w:tcPr>
          <w:p>
            <w:pPr>
              <w:widowControl/>
              <w:jc w:val="right"/>
              <w:rPr>
                <w:rFonts w:hint="eastAsia" w:eastAsiaTheme="minorEastAsia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66,607.02</w:t>
            </w:r>
          </w:p>
        </w:tc>
        <w:tc>
          <w:tcPr>
            <w:tcW w:w="958" w:type="pct"/>
            <w:noWrap/>
            <w:vAlign w:val="center"/>
          </w:tcPr>
          <w:p>
            <w:pPr>
              <w:widowControl/>
              <w:jc w:val="right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Cs w:val="21"/>
              </w:rPr>
              <w:t>566,607.02</w:t>
            </w:r>
            <w:r>
              <w:rPr>
                <w:rFonts w:hint="eastAsia" w:ascii="MS Gothic" w:hAnsi="MS Gothic" w:eastAsia="MS Gothic" w:cs="MS Gothic"/>
                <w:b/>
                <w:bCs/>
                <w:szCs w:val="21"/>
              </w:rPr>
              <w:t>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185" w:type="pct"/>
            <w:noWrap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合计</w:t>
            </w:r>
          </w:p>
        </w:tc>
        <w:tc>
          <w:tcPr>
            <w:tcW w:w="899" w:type="pct"/>
            <w:noWrap/>
            <w:vAlign w:val="center"/>
          </w:tcPr>
          <w:p>
            <w:pPr>
              <w:widowControl/>
              <w:jc w:val="right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Cs w:val="21"/>
              </w:rPr>
              <w:t>2,233,300.00</w:t>
            </w:r>
          </w:p>
        </w:tc>
        <w:tc>
          <w:tcPr>
            <w:tcW w:w="958" w:type="pct"/>
            <w:vAlign w:val="center"/>
          </w:tcPr>
          <w:p>
            <w:pPr>
              <w:widowControl/>
              <w:jc w:val="right"/>
              <w:rPr>
                <w:rFonts w:hint="eastAsia"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Cs w:val="21"/>
              </w:rPr>
              <w:t>2</w:t>
            </w:r>
            <w:r>
              <w:rPr>
                <w:rFonts w:eastAsiaTheme="minorEastAsia"/>
                <w:b/>
                <w:bCs/>
                <w:szCs w:val="21"/>
              </w:rPr>
              <w:t>,236,500.00</w:t>
            </w:r>
          </w:p>
        </w:tc>
        <w:tc>
          <w:tcPr>
            <w:tcW w:w="958" w:type="pct"/>
            <w:noWrap/>
            <w:vAlign w:val="center"/>
          </w:tcPr>
          <w:p>
            <w:pPr>
              <w:widowControl/>
              <w:jc w:val="right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Cs w:val="21"/>
              </w:rPr>
              <w:t>2,236,500.00</w:t>
            </w:r>
          </w:p>
        </w:tc>
      </w:tr>
    </w:tbl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年中预算调整3,200.00元原因为调增省直部门安排的2019-2020年度综治奖43,200.00元，调减公用经费40,000.00元，部门整体支出按调整预算数控制。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2、支出管理情况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信息中心2020年度严格按照预算批复及预算规定的开支范围进行资金使用，并依照相关财务制度进行资金使用的审批与核算，不存在无预算、超预算支出现象。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3、公用经费支出情况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信息中心2020年度公用经费决算数566,607.02元，2019年度公用经费决算数408,298.68元，较上年增加158,308.34元，其中维修费比上年增加157,732.10万元，系湖南省工信厅门户网站开发及维护、计算机网络安全加固、信息管理系统等业务逐步转至信息中心，导致维修费用增加。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4、三公经费支出情况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ind w:firstLine="321" w:firstLineChars="100"/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（三）项目支出情况</w:t>
      </w:r>
    </w:p>
    <w:p>
      <w:pPr>
        <w:spacing w:line="540" w:lineRule="exact"/>
        <w:ind w:firstLine="56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无。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三、政府性基金预算支出情况</w:t>
      </w:r>
    </w:p>
    <w:p>
      <w:pPr>
        <w:spacing w:line="540" w:lineRule="exact"/>
        <w:ind w:firstLine="56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无。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四、国有资本经营预算支出情况</w:t>
      </w:r>
    </w:p>
    <w:p>
      <w:pPr>
        <w:spacing w:line="540" w:lineRule="exact"/>
        <w:ind w:firstLine="56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无。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五、社会保险基金预算支出情况</w:t>
      </w:r>
    </w:p>
    <w:p>
      <w:pPr>
        <w:spacing w:line="540" w:lineRule="exact"/>
        <w:ind w:firstLine="56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无。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六、部门整体支出绩效情况</w:t>
      </w:r>
    </w:p>
    <w:p>
      <w:pPr>
        <w:pStyle w:val="3"/>
        <w:spacing w:before="0" w:after="0" w:line="360" w:lineRule="auto"/>
        <w:ind w:left="420" w:leftChars="200"/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（一）资产管理情况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1、2020年期末固定资产情况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2020年12月31日信息中心固定资产原值675,879.70元、累计折旧637,610.64元、资产净值38,269.06元。期末固定资产明细如下所示：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1733"/>
        <w:gridCol w:w="1911"/>
        <w:gridCol w:w="1704"/>
        <w:gridCol w:w="1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分类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固定资产原值</w:t>
            </w:r>
          </w:p>
        </w:tc>
        <w:tc>
          <w:tcPr>
            <w:tcW w:w="1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固定资产累计折旧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固定资产净值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占比（%）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通用设备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665,654.00</w:t>
            </w:r>
          </w:p>
        </w:tc>
        <w:tc>
          <w:tcPr>
            <w:tcW w:w="1911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635,450.59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30,203.41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widowControl/>
              <w:jc w:val="right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家具、用具、装具及动植物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10,225.70</w:t>
            </w:r>
          </w:p>
        </w:tc>
        <w:tc>
          <w:tcPr>
            <w:tcW w:w="1911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2,160.05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8,065.65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widowControl/>
              <w:jc w:val="righ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1.51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kern w:val="0"/>
                <w:szCs w:val="21"/>
                <w:lang w:bidi="ar"/>
              </w:rPr>
              <w:t>675,879.70</w:t>
            </w:r>
          </w:p>
        </w:tc>
        <w:tc>
          <w:tcPr>
            <w:tcW w:w="1911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kern w:val="0"/>
                <w:szCs w:val="21"/>
                <w:lang w:bidi="ar"/>
              </w:rPr>
              <w:t>637,610.64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kern w:val="0"/>
                <w:szCs w:val="21"/>
                <w:lang w:bidi="ar"/>
              </w:rPr>
              <w:t>38,269.06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widowControl/>
              <w:jc w:val="right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b/>
                <w:bCs/>
                <w:kern w:val="0"/>
                <w:szCs w:val="21"/>
                <w:lang w:bidi="ar"/>
              </w:rPr>
              <w:t>100.00</w:t>
            </w:r>
          </w:p>
        </w:tc>
      </w:tr>
    </w:tbl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信息中心固定资产主要为通用设备。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2、资产管理体制机制方面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为加强信息中心的固定资产管理，提高其使用效率，保证国有资产的安全、完整，信息中心特制定《湖南省经信委信息中心财务管理制度》，建立了固定资产配置、使用、处置等方面的制度，加强了固定资产的日常管理工作。</w:t>
      </w:r>
    </w:p>
    <w:p>
      <w:pPr>
        <w:numPr>
          <w:ilvl w:val="0"/>
          <w:numId w:val="1"/>
        </w:numPr>
        <w:ind w:leftChars="0" w:firstLine="643" w:firstLineChars="200"/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业务开展情况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1、运行成本方面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为严格控制运行成本，信息中心建立了《财务管理制度》、《内部管理制度》等相关内控制度，明确了财务管理、核算、专项资金管理、费用报销等方面的制度，严格贯彻落实中央“八项规定”和厉行勤俭节约，反对铺张浪费要求。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2、重点工作完成情况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（1）日常维护工作平稳有序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机关局域网、电话网、OA协同办公系统、工信部公文传输专线、工信部视频会议专线等保障工作平稳有序，协助厅机关完成网络安全等保三级备案、测评、整改工作，工业数据云平台系统、项目管理系统等多项系统获得信息系统安全等级保护备案证明。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（2）信息宣传管理亮点突出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①2020年，厅门户网站进行了1次栏目页面改版和1次整体改版，对网站改版进行了问卷调查，从结果看，认为新版网站页面设计、栏目设置、色彩比原网站更好的比例均为100%；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②2020年，厅门户网站共发布信息6939条，微信公众号“湖南工信”共发布信息1759条；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③门户网站每日访问量、发稿量、最受欢迎栏目、最受欢迎文章等指标在省直部门中多次名列第一。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（3）党建工作取得新成效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2020年开展主题党日活动13次，组织党员集中学习14次，党课教育6次，党员大会11次，观看警示教育、青年活动视频2次。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（4）持续推进国产软硬件产品适配升级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在30台长城KF510上安装了景嘉微国产显卡，所有终端用户同时安装了金山WPS和永中OFFICE办公软件，麒麟操作系统版本升级到V10版。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（5）工业数据云项目实施顺利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项目于2020年6月正式开工建设，目前规上企业已基本入库，大数据平台轮廓初现。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（6）厅门户网站创建抗疫专题专栏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在厅门户网站创建“抗击疫情—湖南工信铁军在行动”专题专栏，发布要闻、复工复产、工信行动、政策措施等信息679条。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 xml:space="preserve"> 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七、存在的问题及原因分析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公用经费变动率有待降低。信息中心2019年公用经费408,298.68元，2020年公用经费566,607.02元，较上年增加158,308.34元。其中维修费比上年增加157,732.10万元，系湖南省工信厅门户网站开发及维护、计算机网络安全加固、信息管理系统等业务逐步转至信息中心，因此维修费用增加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八、下一步改进措施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坚持厉行节约，强化经费管理。加强经费的管理，规范经费的使用，严格审核经费的支出。加强单位内部控制制度，使资金支出规范性和科学性。坚持节余留用、超支不补、自求平衡的原则，建立管理责任制。</w:t>
      </w:r>
    </w:p>
    <w:p>
      <w:pPr>
        <w:numPr>
          <w:ilvl w:val="0"/>
          <w:numId w:val="2"/>
        </w:numPr>
        <w:ind w:leftChars="0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绩效自评结果拟应用和公开情况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信息中心将本次绩效自评结果公布于OA协同办公系统。</w:t>
      </w:r>
    </w:p>
    <w:p>
      <w:pPr>
        <w:numPr>
          <w:ilvl w:val="0"/>
          <w:numId w:val="0"/>
        </w:numPr>
        <w:ind w:leftChars="200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leftChars="0" w:firstLine="640" w:firstLineChars="200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附件：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1、部门整体支出绩效评价基础数据表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2、部门整体支出绩效自评表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ind w:leftChars="0" w:firstLine="640" w:firstLineChars="200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</w:p>
    <w:p>
      <w:pPr>
        <w:spacing w:line="560" w:lineRule="exact"/>
        <w:ind w:firstLine="560"/>
        <w:jc w:val="righ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湖南省</w:t>
      </w:r>
      <w:r>
        <w:rPr>
          <w:rFonts w:hint="eastAsia" w:eastAsia="仿宋_GB2312"/>
          <w:sz w:val="32"/>
          <w:szCs w:val="32"/>
          <w:lang w:val="en-US" w:eastAsia="zh-CN"/>
        </w:rPr>
        <w:t>经信委信息中心</w:t>
      </w:r>
    </w:p>
    <w:p>
      <w:pPr>
        <w:spacing w:line="560" w:lineRule="exact"/>
        <w:ind w:firstLine="5120" w:firstLineChars="1600"/>
        <w:rPr>
          <w:rFonts w:eastAsia="仿宋_GB2312"/>
          <w:sz w:val="32"/>
          <w:szCs w:val="32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 w:eastAsia="仿宋_GB2312"/>
          <w:b/>
          <w:sz w:val="32"/>
          <w:szCs w:val="32"/>
        </w:rPr>
        <w:t xml:space="preserve">                               二</w:t>
      </w:r>
      <w:r>
        <w:rPr>
          <w:rFonts w:hint="eastAsia" w:eastAsia="仿宋_GB2312"/>
          <w:b w:val="0"/>
          <w:sz w:val="32"/>
          <w:szCs w:val="32"/>
        </w:rPr>
        <w:t>〇</w:t>
      </w:r>
      <w:r>
        <w:rPr>
          <w:rFonts w:hint="eastAsia" w:eastAsia="仿宋_GB2312"/>
          <w:b/>
          <w:sz w:val="32"/>
          <w:szCs w:val="32"/>
        </w:rPr>
        <w:t>二</w:t>
      </w:r>
      <w:r>
        <w:rPr>
          <w:rFonts w:hint="eastAsia" w:eastAsia="仿宋_GB2312"/>
          <w:b/>
          <w:sz w:val="32"/>
          <w:szCs w:val="32"/>
          <w:lang w:val="en-US" w:eastAsia="zh-CN"/>
        </w:rPr>
        <w:t>一</w:t>
      </w:r>
      <w:r>
        <w:rPr>
          <w:rFonts w:hint="eastAsia" w:eastAsia="仿宋_GB2312"/>
          <w:b/>
          <w:sz w:val="32"/>
          <w:szCs w:val="32"/>
        </w:rPr>
        <w:t>年</w:t>
      </w:r>
      <w:r>
        <w:rPr>
          <w:rFonts w:hint="eastAsia" w:eastAsia="仿宋_GB2312"/>
          <w:b/>
          <w:sz w:val="32"/>
          <w:szCs w:val="32"/>
          <w:lang w:eastAsia="zh-CN"/>
        </w:rPr>
        <w:t>四</w:t>
      </w:r>
      <w:r>
        <w:rPr>
          <w:rFonts w:hint="eastAsia" w:eastAsia="仿宋_GB2312"/>
          <w:b/>
          <w:sz w:val="32"/>
          <w:szCs w:val="32"/>
        </w:rPr>
        <w:t>月</w:t>
      </w:r>
      <w:r>
        <w:rPr>
          <w:rFonts w:hint="eastAsia" w:eastAsia="仿宋_GB2312"/>
          <w:b/>
          <w:sz w:val="32"/>
          <w:szCs w:val="32"/>
          <w:lang w:eastAsia="zh-CN"/>
        </w:rPr>
        <w:t>十九</w:t>
      </w:r>
      <w:r>
        <w:rPr>
          <w:rFonts w:hint="eastAsia" w:eastAsia="仿宋_GB2312"/>
          <w:b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DD9194"/>
    <w:multiLevelType w:val="singleLevel"/>
    <w:tmpl w:val="96DD9194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FD1D722"/>
    <w:multiLevelType w:val="singleLevel"/>
    <w:tmpl w:val="0FD1D72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81785"/>
    <w:rsid w:val="12CB5D66"/>
    <w:rsid w:val="180D5E15"/>
    <w:rsid w:val="1E2E1DCB"/>
    <w:rsid w:val="30060531"/>
    <w:rsid w:val="4CC56DDC"/>
    <w:rsid w:val="51712DC7"/>
    <w:rsid w:val="533A1F15"/>
    <w:rsid w:val="54EF1541"/>
    <w:rsid w:val="59281785"/>
    <w:rsid w:val="62370C2B"/>
    <w:rsid w:val="66FA5CEF"/>
    <w:rsid w:val="68EB5FC2"/>
    <w:rsid w:val="6BE03CFC"/>
    <w:rsid w:val="75CB6A42"/>
    <w:rsid w:val="76677123"/>
    <w:rsid w:val="7EF1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kern w:val="2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华文仿宋"/>
      <w:sz w:val="30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2020-06-03T08:39:00Z</dcterms:created>
  <dc:creator>panphia</dc:creator>
  <cp:lastModifiedBy>李凌</cp:lastModifiedBy>
  <dcterms:modified xsi:type="dcterms:W3CDTF">2021-05-26T00:23:33Z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8C24E3BDEFC24BF897EF59FA11CB1C54</vt:lpwstr>
  </property>
</Properties>
</file>