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jc w:val="center"/>
        <w:rPr>
          <w:rFonts w:ascii="宋体" w:hAnsi="宋体"/>
          <w:b/>
          <w:sz w:val="36"/>
          <w:szCs w:val="36"/>
        </w:rPr>
      </w:pPr>
      <w:r>
        <w:rPr>
          <w:rFonts w:hint="eastAsia" w:ascii="宋体" w:hAnsi="宋体"/>
          <w:b/>
          <w:sz w:val="36"/>
          <w:szCs w:val="36"/>
        </w:rPr>
        <w:t>湖南省经信委信息中心</w:t>
      </w:r>
    </w:p>
    <w:p>
      <w:pPr>
        <w:jc w:val="center"/>
        <w:rPr>
          <w:rFonts w:ascii="宋体" w:hAnsi="宋体"/>
          <w:b/>
          <w:sz w:val="36"/>
          <w:szCs w:val="36"/>
        </w:rPr>
      </w:pPr>
      <w:r>
        <w:rPr>
          <w:rFonts w:hint="eastAsia" w:ascii="宋体" w:hAnsi="宋体"/>
          <w:b/>
          <w:sz w:val="36"/>
          <w:szCs w:val="36"/>
        </w:rPr>
        <w:t>2020年度部门整体支出绩效评价报告</w:t>
      </w:r>
    </w:p>
    <w:p>
      <w:pPr>
        <w:spacing w:line="800" w:lineRule="exact"/>
        <w:jc w:val="right"/>
        <w:rPr>
          <w:rFonts w:ascii="仿宋_GB2312" w:hAnsi="宋体" w:eastAsia="仿宋_GB2312"/>
          <w:b/>
          <w:sz w:val="24"/>
        </w:rPr>
      </w:pPr>
      <w:r>
        <w:rPr>
          <w:rFonts w:hint="eastAsia" w:ascii="仿宋_GB2312" w:hAnsi="宋体" w:eastAsia="仿宋_GB2312"/>
          <w:b/>
          <w:sz w:val="24"/>
        </w:rPr>
        <w:t>皓审报字[2021]专第</w:t>
      </w:r>
      <w:r>
        <w:rPr>
          <w:rFonts w:hint="eastAsia" w:ascii="仿宋_GB2312" w:hAnsi="宋体" w:eastAsia="仿宋_GB2312"/>
          <w:b/>
          <w:sz w:val="24"/>
          <w:lang w:val="en-US" w:eastAsia="zh-CN"/>
        </w:rPr>
        <w:t>030</w:t>
      </w:r>
      <w:r>
        <w:rPr>
          <w:rFonts w:hint="eastAsia" w:ascii="仿宋_GB2312" w:hAnsi="宋体" w:eastAsia="仿宋_GB2312"/>
          <w:b/>
          <w:sz w:val="24"/>
        </w:rPr>
        <w:t>号</w:t>
      </w:r>
    </w:p>
    <w:p>
      <w:pPr>
        <w:spacing w:line="800" w:lineRule="exact"/>
        <w:jc w:val="right"/>
        <w:rPr>
          <w:rFonts w:ascii="仿宋_GB2312" w:hAnsi="宋体" w:eastAsia="仿宋_GB2312"/>
          <w:b/>
          <w:sz w:val="24"/>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贯彻落实《中共中央国务院关于全面实施预算绩效管理的意见》（中发〔2018〕34号）和《中共湖南省委办公厅湖南省人民政府办公厅关于全面实施预算绩效管理的实施意见》（湘办发〔2019〕10号）要求，推进全过程绩效管理，强化支出责任意识，提高财政资金使用效益和管理水平，根据《中华人民共和国预算法》和《湖南省财政厅关于开展2020年度部门绩效自评工作的通知》（湘财绩〔2021〕1号），我们接受湖南省工业和信息化厅委托对湖南省经信委信息中心（以下简称“信息中心”）进行绩效评价，成立了绩效评价工作组，并于2021年4月22日至4月23日对信息中心2020年部门整体支出进行了绩效评价。绩效评价工作组采用查阅资料、现场查看、定量和定性分析等方法，对信息中心的预算编制、执行、监督，资金分配、使用、监管以及财务会计信息、部门职责履行、项目组织管理、部门绩效完成情况等方面进行综合评价。现将绩效评价情况报告如下：</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一、单位基本情况</w:t>
      </w:r>
    </w:p>
    <w:p>
      <w:pPr>
        <w:ind w:firstLine="562" w:firstLineChars="200"/>
        <w:rPr>
          <w:rFonts w:asciiTheme="minorEastAsia" w:hAnsiTheme="minorEastAsia" w:eastAsiaTheme="minorEastAsia" w:cstheme="minorEastAsia"/>
          <w:b/>
          <w:bCs/>
          <w:sz w:val="28"/>
          <w:szCs w:val="28"/>
        </w:rPr>
      </w:pPr>
      <w:r>
        <w:rPr>
          <w:rFonts w:hint="eastAsia" w:asciiTheme="minorEastAsia" w:hAnsiTheme="minorEastAsia" w:cstheme="minorEastAsia"/>
          <w:b/>
          <w:bCs/>
          <w:sz w:val="28"/>
          <w:szCs w:val="28"/>
        </w:rPr>
        <w:t>（一）</w:t>
      </w:r>
      <w:r>
        <w:rPr>
          <w:rFonts w:hint="eastAsia" w:asciiTheme="minorEastAsia" w:hAnsiTheme="minorEastAsia" w:eastAsiaTheme="minorEastAsia" w:cstheme="minorEastAsia"/>
          <w:b/>
          <w:bCs/>
          <w:sz w:val="28"/>
          <w:szCs w:val="28"/>
        </w:rPr>
        <w:t>在职人员情况</w:t>
      </w:r>
    </w:p>
    <w:p>
      <w:pPr>
        <w:ind w:firstLine="560"/>
        <w:rPr>
          <w:rFonts w:asciiTheme="minorEastAsia" w:hAnsiTheme="minorEastAsia" w:cstheme="minorEastAsia"/>
          <w:sz w:val="28"/>
          <w:szCs w:val="28"/>
        </w:rPr>
      </w:pPr>
      <w:r>
        <w:rPr>
          <w:rFonts w:hint="eastAsia" w:asciiTheme="minorEastAsia" w:hAnsiTheme="minorEastAsia" w:cstheme="minorEastAsia"/>
          <w:sz w:val="28"/>
          <w:szCs w:val="28"/>
        </w:rPr>
        <w:t>2000年11月30日，《湖南省机构编制委员会办公室</w:t>
      </w:r>
      <w:r>
        <w:rPr>
          <w:rFonts w:hint="eastAsia" w:ascii="仿宋" w:hAnsi="仿宋" w:eastAsia="仿宋" w:cs="Arial"/>
          <w:sz w:val="32"/>
          <w:szCs w:val="32"/>
        </w:rPr>
        <w:t>&lt;</w:t>
      </w:r>
      <w:r>
        <w:rPr>
          <w:rFonts w:hint="eastAsia" w:asciiTheme="minorEastAsia" w:hAnsiTheme="minorEastAsia" w:cstheme="minorEastAsia"/>
          <w:sz w:val="28"/>
          <w:szCs w:val="28"/>
        </w:rPr>
        <w:t>关于成立省经贸信息中心</w:t>
      </w:r>
      <w:r>
        <w:rPr>
          <w:rFonts w:hint="eastAsia" w:ascii="仿宋" w:hAnsi="仿宋" w:eastAsia="仿宋" w:cs="Arial"/>
          <w:sz w:val="32"/>
          <w:szCs w:val="32"/>
        </w:rPr>
        <w:t>&gt;</w:t>
      </w:r>
      <w:r>
        <w:rPr>
          <w:rFonts w:hint="eastAsia" w:asciiTheme="minorEastAsia" w:hAnsiTheme="minorEastAsia" w:cstheme="minorEastAsia"/>
          <w:sz w:val="28"/>
          <w:szCs w:val="28"/>
        </w:rPr>
        <w:t>的复函》（湘编办函</w:t>
      </w:r>
      <w:r>
        <w:rPr>
          <w:rFonts w:hint="eastAsia" w:ascii="宋体" w:hAnsi="宋体" w:cs="宋体"/>
          <w:sz w:val="28"/>
          <w:szCs w:val="28"/>
        </w:rPr>
        <w:t>〔2000〕82号</w:t>
      </w:r>
      <w:r>
        <w:rPr>
          <w:rFonts w:hint="eastAsia" w:asciiTheme="minorEastAsia" w:hAnsiTheme="minorEastAsia" w:cstheme="minorEastAsia"/>
          <w:sz w:val="28"/>
          <w:szCs w:val="28"/>
        </w:rPr>
        <w:t>），核定信息中心全额拨款事业编制8名。截至2020年12月31日，信息中心实有在职人员8人。</w:t>
      </w:r>
    </w:p>
    <w:p>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w:t>
      </w:r>
      <w:r>
        <w:rPr>
          <w:rFonts w:asciiTheme="minorEastAsia" w:hAnsiTheme="minorEastAsia" w:cstheme="minorEastAsia"/>
          <w:b/>
          <w:bCs/>
          <w:sz w:val="28"/>
          <w:szCs w:val="28"/>
        </w:rPr>
        <w:t>主要职能</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信息中心</w:t>
      </w:r>
      <w:r>
        <w:rPr>
          <w:rFonts w:hint="eastAsia" w:asciiTheme="minorEastAsia" w:hAnsiTheme="minorEastAsia" w:cstheme="minorEastAsia"/>
          <w:sz w:val="28"/>
          <w:szCs w:val="28"/>
        </w:rPr>
        <w:t>负责厅机关政务信息化建设和信息系统的运维管理。承担厅机关门户网站、“湖南工信”微信公众号的建设与运维管理工作；承担厅机关网络基础设施、办公终端及辅助设备等的运维管理工作；承担厅机关网络安全、计算机保密技术支持与管理工作；承担厅机关软件正版化管理工作；承担“工信部视频会议专线”、省委、省政府“党政专线”等的技术保障工作；承担厅机关“互联网+政务服务”、“互联网+监管”等的技术支持工作；承担厅机关重大活动、重要会议的图片信息采编工作；完成领导交办的其他工作。</w:t>
      </w:r>
    </w:p>
    <w:p>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（三）2020年重点工作计划</w:t>
      </w:r>
    </w:p>
    <w:p>
      <w:pPr>
        <w:ind w:firstLine="560"/>
        <w:rPr>
          <w:rFonts w:asciiTheme="minorEastAsia" w:hAnsiTheme="minorEastAsia" w:cstheme="minorEastAsia"/>
          <w:sz w:val="28"/>
          <w:szCs w:val="28"/>
        </w:rPr>
      </w:pPr>
      <w:r>
        <w:rPr>
          <w:rFonts w:hint="eastAsia" w:asciiTheme="minorEastAsia" w:hAnsiTheme="minorEastAsia" w:cstheme="minorEastAsia"/>
          <w:sz w:val="28"/>
          <w:szCs w:val="28"/>
        </w:rPr>
        <w:t>1、做到日常维护工作平稳有序，确保机关局域网、电话网、OA协同办公系统、业务应用系统、“互联网+政务服务”、“互联网+监管”、软件正版化、工信部公文传输专线、工信部视频会议专线等保障工作平稳有序；</w:t>
      </w:r>
    </w:p>
    <w:p>
      <w:pPr>
        <w:ind w:firstLine="560"/>
        <w:rPr>
          <w:rFonts w:asciiTheme="minorEastAsia" w:hAnsiTheme="minorEastAsia" w:cstheme="minorEastAsia"/>
          <w:sz w:val="28"/>
          <w:szCs w:val="28"/>
        </w:rPr>
      </w:pPr>
      <w:r>
        <w:rPr>
          <w:rFonts w:hint="eastAsia" w:asciiTheme="minorEastAsia" w:hAnsiTheme="minorEastAsia" w:cstheme="minorEastAsia"/>
          <w:sz w:val="28"/>
          <w:szCs w:val="28"/>
        </w:rPr>
        <w:t>2、继续做好信息宣传管理，完成门户网站改版，确保厅门户网站信息发布量增长，确保“湖南工信”微信公众号各项指标数据提升；</w:t>
      </w:r>
    </w:p>
    <w:p>
      <w:pPr>
        <w:ind w:firstLine="560"/>
        <w:rPr>
          <w:rFonts w:asciiTheme="minorEastAsia" w:hAnsiTheme="minorEastAsia" w:cstheme="minorEastAsia"/>
          <w:sz w:val="28"/>
          <w:szCs w:val="28"/>
        </w:rPr>
      </w:pPr>
      <w:r>
        <w:rPr>
          <w:rFonts w:hint="eastAsia" w:asciiTheme="minorEastAsia" w:hAnsiTheme="minorEastAsia" w:cstheme="minorEastAsia"/>
          <w:sz w:val="28"/>
          <w:szCs w:val="28"/>
        </w:rPr>
        <w:t>3、持续推进国产软硬件产品适配升级，所有终端用户同时安装金山WPS和永中OFFICE办公软件，麒麟操作系统版本升级到V10版；</w:t>
      </w:r>
    </w:p>
    <w:p>
      <w:pPr>
        <w:ind w:firstLine="560"/>
        <w:rPr>
          <w:rFonts w:asciiTheme="minorEastAsia" w:hAnsiTheme="minorEastAsia" w:cstheme="minorEastAsia"/>
          <w:sz w:val="28"/>
          <w:szCs w:val="28"/>
        </w:rPr>
      </w:pPr>
      <w:r>
        <w:rPr>
          <w:rFonts w:hint="eastAsia" w:asciiTheme="minorEastAsia" w:hAnsiTheme="minorEastAsia" w:cstheme="minorEastAsia"/>
          <w:sz w:val="28"/>
          <w:szCs w:val="28"/>
        </w:rPr>
        <w:t>4、工业数据云项目推进实施，计划于2020年6月正式开工建设，规上企业基本入库，大数据平台轮廓初现，为省工业经济运行监测分析提供有力支撑。</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二、一般公共预算支出情况</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（一）部门支出总体情况</w:t>
      </w:r>
    </w:p>
    <w:p>
      <w:pPr>
        <w:spacing w:line="54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2020年2月6日，《湖南省财政厅关于2020年有关省直单位部门预算的批复》（湘财预</w:t>
      </w:r>
      <w:r>
        <w:rPr>
          <w:rFonts w:hint="eastAsia" w:ascii="宋体" w:hAnsi="宋体" w:cs="宋体"/>
          <w:sz w:val="28"/>
          <w:szCs w:val="28"/>
        </w:rPr>
        <w:t>〔2020〕27号</w:t>
      </w:r>
      <w:r>
        <w:rPr>
          <w:rFonts w:hint="eastAsia" w:asciiTheme="minorEastAsia" w:hAnsiTheme="minorEastAsia" w:cstheme="minorEastAsia"/>
          <w:sz w:val="28"/>
          <w:szCs w:val="28"/>
        </w:rPr>
        <w:t>），批复信息中心2020年部门预算2,233,300.00元，其中：基本支出2,233,300.00元（均为一般公共预算财政拨款收入），无项目支出。本年财政拨款追加3,200.00元，全年实际财政拨款收入2,236,500.00元，其他收入1.46元。全年财政拨款支出2,236,500.00元，本年结转结余</w:t>
      </w:r>
      <w:r>
        <w:rPr>
          <w:rFonts w:hint="eastAsia" w:asciiTheme="minorEastAsia" w:hAnsiTheme="minorEastAsia" w:cstheme="minorEastAsia"/>
          <w:sz w:val="28"/>
          <w:szCs w:val="28"/>
          <w:lang w:val="en-US" w:eastAsia="zh-CN"/>
        </w:rPr>
        <w:t>1.46</w:t>
      </w:r>
      <w:r>
        <w:rPr>
          <w:rFonts w:hint="eastAsia" w:asciiTheme="minorEastAsia" w:hAnsiTheme="minorEastAsia" w:cstheme="minorEastAsia"/>
          <w:sz w:val="28"/>
          <w:szCs w:val="28"/>
        </w:rPr>
        <w:t>元，累计结转结余</w:t>
      </w:r>
      <w:r>
        <w:rPr>
          <w:rFonts w:hint="eastAsia" w:asciiTheme="minorEastAsia" w:hAnsiTheme="minorEastAsia" w:cstheme="minorEastAsia"/>
          <w:sz w:val="28"/>
          <w:szCs w:val="28"/>
          <w:lang w:val="en-US" w:eastAsia="zh-CN"/>
        </w:rPr>
        <w:t>7.99</w:t>
      </w:r>
      <w:r>
        <w:rPr>
          <w:rFonts w:hint="eastAsia" w:asciiTheme="minorEastAsia" w:hAnsiTheme="minorEastAsia" w:cstheme="minorEastAsia"/>
          <w:sz w:val="28"/>
          <w:szCs w:val="28"/>
        </w:rPr>
        <w:t>元。。总体情况如下表所示：</w:t>
      </w:r>
    </w:p>
    <w:p>
      <w:pPr>
        <w:spacing w:line="540" w:lineRule="exact"/>
        <w:ind w:firstLine="560"/>
        <w:jc w:val="right"/>
        <w:rPr>
          <w:rFonts w:asciiTheme="minorEastAsia" w:hAnsiTheme="minorEastAsia" w:cstheme="minorEastAsia"/>
          <w:sz w:val="28"/>
          <w:szCs w:val="28"/>
        </w:rPr>
      </w:pPr>
      <w:r>
        <w:rPr>
          <w:rFonts w:hint="eastAsia" w:asciiTheme="minorEastAsia" w:hAnsiTheme="minorEastAsia" w:cstheme="minorEastAsia"/>
          <w:szCs w:val="21"/>
        </w:rPr>
        <w:t>单位：元</w:t>
      </w:r>
    </w:p>
    <w:tbl>
      <w:tblPr>
        <w:tblStyle w:val="14"/>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59"/>
        <w:gridCol w:w="1128"/>
        <w:gridCol w:w="1031"/>
        <w:gridCol w:w="1360"/>
        <w:gridCol w:w="1120"/>
        <w:gridCol w:w="1199"/>
        <w:gridCol w:w="57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trPr>
        <w:tc>
          <w:tcPr>
            <w:tcW w:w="634" w:type="pct"/>
            <w:shd w:val="clear" w:color="000000" w:fill="FFFFFF"/>
            <w:noWrap/>
            <w:vAlign w:val="center"/>
          </w:tcPr>
          <w:p>
            <w:pPr>
              <w:widowControl/>
              <w:jc w:val="center"/>
              <w:rPr>
                <w:rFonts w:ascii="宋体" w:hAnsi="宋体" w:cs="宋体"/>
                <w:b/>
                <w:bCs/>
                <w:color w:val="000000"/>
                <w:sz w:val="22"/>
              </w:rPr>
            </w:pPr>
            <w:r>
              <w:rPr>
                <w:rFonts w:hint="eastAsia" w:ascii="宋体" w:hAnsi="宋体" w:cs="宋体"/>
                <w:b/>
                <w:bCs/>
                <w:color w:val="000000"/>
                <w:sz w:val="22"/>
              </w:rPr>
              <w:t>项目大类</w:t>
            </w:r>
          </w:p>
        </w:tc>
        <w:tc>
          <w:tcPr>
            <w:tcW w:w="676"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本年年初预算</w:t>
            </w:r>
          </w:p>
        </w:tc>
        <w:tc>
          <w:tcPr>
            <w:tcW w:w="618" w:type="pct"/>
            <w:shd w:val="clear" w:color="000000" w:fill="FFFFFF"/>
            <w:noWrap/>
            <w:vAlign w:val="center"/>
          </w:tcPr>
          <w:p>
            <w:pPr>
              <w:widowControl/>
              <w:jc w:val="center"/>
              <w:rPr>
                <w:rFonts w:ascii="宋体" w:hAnsi="宋体" w:cs="宋体"/>
                <w:b/>
                <w:bCs/>
                <w:color w:val="000000"/>
                <w:sz w:val="22"/>
              </w:rPr>
            </w:pPr>
            <w:r>
              <w:rPr>
                <w:rFonts w:hint="eastAsia" w:ascii="宋体" w:hAnsi="宋体" w:cs="宋体"/>
                <w:b/>
                <w:bCs/>
                <w:color w:val="000000"/>
                <w:sz w:val="22"/>
              </w:rPr>
              <w:t>本年追加</w:t>
            </w:r>
          </w:p>
        </w:tc>
        <w:tc>
          <w:tcPr>
            <w:tcW w:w="815" w:type="pct"/>
            <w:shd w:val="clear" w:color="000000" w:fill="FFFFFF"/>
            <w:noWrap/>
            <w:vAlign w:val="center"/>
          </w:tcPr>
          <w:p>
            <w:pPr>
              <w:widowControl/>
              <w:jc w:val="center"/>
              <w:rPr>
                <w:rFonts w:ascii="宋体" w:hAnsi="宋体" w:cs="宋体"/>
                <w:b/>
                <w:bCs/>
                <w:color w:val="000000"/>
                <w:sz w:val="22"/>
              </w:rPr>
            </w:pPr>
            <w:r>
              <w:rPr>
                <w:rFonts w:hint="eastAsia" w:ascii="宋体" w:hAnsi="宋体" w:cs="宋体"/>
                <w:b/>
                <w:bCs/>
                <w:color w:val="000000"/>
                <w:sz w:val="22"/>
              </w:rPr>
              <w:t>本年财政拨款收入小计</w:t>
            </w:r>
          </w:p>
        </w:tc>
        <w:tc>
          <w:tcPr>
            <w:tcW w:w="671"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其他收入</w:t>
            </w:r>
          </w:p>
        </w:tc>
        <w:tc>
          <w:tcPr>
            <w:tcW w:w="718" w:type="pct"/>
            <w:shd w:val="clear" w:color="000000" w:fill="FFFFFF"/>
            <w:noWrap/>
            <w:vAlign w:val="center"/>
          </w:tcPr>
          <w:p>
            <w:pPr>
              <w:widowControl/>
              <w:jc w:val="center"/>
              <w:rPr>
                <w:rFonts w:ascii="宋体" w:hAnsi="宋体" w:cs="宋体"/>
                <w:b/>
                <w:bCs/>
                <w:color w:val="000000"/>
                <w:sz w:val="22"/>
              </w:rPr>
            </w:pPr>
            <w:r>
              <w:rPr>
                <w:rFonts w:hint="eastAsia" w:ascii="宋体" w:hAnsi="宋体" w:cs="宋体"/>
                <w:b/>
                <w:bCs/>
                <w:color w:val="000000"/>
                <w:sz w:val="22"/>
              </w:rPr>
              <w:t>本年支出</w:t>
            </w:r>
          </w:p>
        </w:tc>
        <w:tc>
          <w:tcPr>
            <w:tcW w:w="344" w:type="pct"/>
            <w:shd w:val="clear" w:color="000000" w:fill="FFFFFF"/>
            <w:vAlign w:val="center"/>
          </w:tcPr>
          <w:p>
            <w:pPr>
              <w:widowControl/>
              <w:jc w:val="center"/>
              <w:rPr>
                <w:rFonts w:hint="eastAsia" w:ascii="宋体" w:hAnsi="宋体" w:cs="宋体"/>
                <w:b/>
                <w:bCs/>
                <w:color w:val="000000"/>
                <w:sz w:val="22"/>
              </w:rPr>
            </w:pPr>
            <w:r>
              <w:rPr>
                <w:rFonts w:hint="eastAsia" w:ascii="宋体" w:hAnsi="宋体" w:cs="宋体"/>
                <w:b/>
                <w:bCs/>
                <w:color w:val="000000"/>
                <w:sz w:val="22"/>
              </w:rPr>
              <w:t>上年结余</w:t>
            </w:r>
          </w:p>
        </w:tc>
        <w:tc>
          <w:tcPr>
            <w:tcW w:w="519"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本年累计结余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634" w:type="pct"/>
            <w:shd w:val="clear" w:color="000000" w:fill="FFFFFF"/>
            <w:vAlign w:val="center"/>
          </w:tcPr>
          <w:p>
            <w:pPr>
              <w:widowControl/>
              <w:jc w:val="center"/>
              <w:rPr>
                <w:rFonts w:ascii="宋体" w:hAnsi="宋体" w:cs="宋体"/>
                <w:szCs w:val="21"/>
              </w:rPr>
            </w:pPr>
            <w:r>
              <w:rPr>
                <w:rFonts w:hint="eastAsia" w:ascii="宋体" w:hAnsi="宋体" w:cs="宋体"/>
                <w:szCs w:val="21"/>
              </w:rPr>
              <w:t>基本支出</w:t>
            </w:r>
          </w:p>
        </w:tc>
        <w:tc>
          <w:tcPr>
            <w:tcW w:w="676" w:type="pct"/>
            <w:shd w:val="clear" w:color="000000" w:fill="FFFFFF"/>
            <w:vAlign w:val="center"/>
          </w:tcPr>
          <w:p>
            <w:pPr>
              <w:jc w:val="right"/>
              <w:rPr>
                <w:rFonts w:eastAsiaTheme="minorEastAsia"/>
                <w:bCs/>
                <w:sz w:val="18"/>
                <w:szCs w:val="18"/>
              </w:rPr>
            </w:pPr>
            <w:r>
              <w:rPr>
                <w:rFonts w:hint="eastAsia" w:eastAsiaTheme="minorEastAsia"/>
                <w:bCs/>
                <w:sz w:val="18"/>
                <w:szCs w:val="18"/>
              </w:rPr>
              <w:t>2,233,300.00</w:t>
            </w:r>
          </w:p>
        </w:tc>
        <w:tc>
          <w:tcPr>
            <w:tcW w:w="618" w:type="pct"/>
            <w:shd w:val="clear" w:color="000000" w:fill="FFFFFF"/>
            <w:vAlign w:val="center"/>
          </w:tcPr>
          <w:p>
            <w:pPr>
              <w:jc w:val="right"/>
              <w:rPr>
                <w:bCs/>
                <w:sz w:val="18"/>
                <w:szCs w:val="18"/>
              </w:rPr>
            </w:pPr>
            <w:r>
              <w:rPr>
                <w:rFonts w:hint="eastAsia"/>
                <w:bCs/>
                <w:sz w:val="18"/>
                <w:szCs w:val="18"/>
              </w:rPr>
              <w:t>3,200.00</w:t>
            </w:r>
          </w:p>
        </w:tc>
        <w:tc>
          <w:tcPr>
            <w:tcW w:w="815" w:type="pct"/>
            <w:shd w:val="clear" w:color="000000" w:fill="FFFFFF"/>
            <w:vAlign w:val="center"/>
          </w:tcPr>
          <w:p>
            <w:pPr>
              <w:jc w:val="right"/>
              <w:rPr>
                <w:bCs/>
                <w:sz w:val="18"/>
                <w:szCs w:val="18"/>
              </w:rPr>
            </w:pPr>
            <w:r>
              <w:rPr>
                <w:rFonts w:hint="eastAsia"/>
                <w:bCs/>
                <w:sz w:val="18"/>
                <w:szCs w:val="18"/>
              </w:rPr>
              <w:t>2,236,500.00</w:t>
            </w:r>
            <w:r>
              <w:rPr>
                <w:bCs/>
                <w:sz w:val="18"/>
                <w:szCs w:val="18"/>
              </w:rPr>
              <w:t>‬</w:t>
            </w:r>
          </w:p>
        </w:tc>
        <w:tc>
          <w:tcPr>
            <w:tcW w:w="671" w:type="pct"/>
            <w:vAlign w:val="center"/>
          </w:tcPr>
          <w:p>
            <w:pPr>
              <w:jc w:val="right"/>
              <w:rPr>
                <w:bCs/>
                <w:sz w:val="18"/>
                <w:szCs w:val="18"/>
              </w:rPr>
            </w:pPr>
            <w:r>
              <w:rPr>
                <w:rFonts w:hint="eastAsia"/>
                <w:bCs/>
                <w:sz w:val="18"/>
                <w:szCs w:val="18"/>
              </w:rPr>
              <w:t>1.46</w:t>
            </w:r>
          </w:p>
        </w:tc>
        <w:tc>
          <w:tcPr>
            <w:tcW w:w="718" w:type="pct"/>
            <w:noWrap/>
            <w:vAlign w:val="center"/>
          </w:tcPr>
          <w:p>
            <w:pPr>
              <w:jc w:val="right"/>
              <w:rPr>
                <w:bCs/>
                <w:sz w:val="18"/>
                <w:szCs w:val="18"/>
              </w:rPr>
            </w:pPr>
            <w:r>
              <w:rPr>
                <w:rFonts w:hint="eastAsia"/>
                <w:bCs/>
                <w:sz w:val="18"/>
                <w:szCs w:val="18"/>
              </w:rPr>
              <w:t>2,236,500.00</w:t>
            </w:r>
            <w:r>
              <w:rPr>
                <w:bCs/>
                <w:sz w:val="18"/>
                <w:szCs w:val="18"/>
              </w:rPr>
              <w:t>‬</w:t>
            </w:r>
          </w:p>
        </w:tc>
        <w:tc>
          <w:tcPr>
            <w:tcW w:w="344" w:type="pct"/>
            <w:noWrap/>
            <w:vAlign w:val="center"/>
          </w:tcPr>
          <w:p>
            <w:pPr>
              <w:jc w:val="right"/>
              <w:rPr>
                <w:rFonts w:hint="eastAsia" w:eastAsiaTheme="minorEastAsia"/>
                <w:bCs/>
                <w:sz w:val="18"/>
                <w:szCs w:val="18"/>
                <w:lang w:val="en-US" w:eastAsia="zh-CN"/>
              </w:rPr>
            </w:pPr>
            <w:r>
              <w:rPr>
                <w:rFonts w:hint="eastAsia" w:eastAsiaTheme="minorEastAsia"/>
                <w:bCs/>
                <w:sz w:val="18"/>
                <w:szCs w:val="18"/>
                <w:lang w:val="en-US" w:eastAsia="zh-CN"/>
              </w:rPr>
              <w:t>6.53</w:t>
            </w:r>
          </w:p>
        </w:tc>
        <w:tc>
          <w:tcPr>
            <w:tcW w:w="519" w:type="pct"/>
            <w:noWrap/>
            <w:vAlign w:val="center"/>
          </w:tcPr>
          <w:p>
            <w:pPr>
              <w:jc w:val="right"/>
              <w:rPr>
                <w:rFonts w:hint="default" w:eastAsiaTheme="minorEastAsia"/>
                <w:bCs/>
                <w:sz w:val="18"/>
                <w:szCs w:val="18"/>
                <w:lang w:val="en-US" w:eastAsia="zh-CN"/>
              </w:rPr>
            </w:pPr>
            <w:r>
              <w:rPr>
                <w:rFonts w:hint="eastAsia" w:eastAsiaTheme="minorEastAsia"/>
                <w:bCs/>
                <w:sz w:val="18"/>
                <w:szCs w:val="18"/>
                <w:lang w:val="en-US" w:eastAsia="zh-CN"/>
              </w:rPr>
              <w:t>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634" w:type="pct"/>
            <w:shd w:val="clear" w:color="000000" w:fill="FFFFFF"/>
            <w:noWrap/>
            <w:vAlign w:val="center"/>
          </w:tcPr>
          <w:p>
            <w:pPr>
              <w:widowControl/>
              <w:jc w:val="center"/>
              <w:rPr>
                <w:rFonts w:ascii="宋体" w:hAnsi="宋体" w:cs="宋体"/>
                <w:szCs w:val="21"/>
              </w:rPr>
            </w:pPr>
            <w:r>
              <w:rPr>
                <w:rFonts w:hint="eastAsia" w:ascii="宋体" w:hAnsi="宋体" w:cs="宋体"/>
                <w:szCs w:val="21"/>
              </w:rPr>
              <w:t>项目支出</w:t>
            </w:r>
          </w:p>
        </w:tc>
        <w:tc>
          <w:tcPr>
            <w:tcW w:w="676" w:type="pct"/>
            <w:vAlign w:val="center"/>
          </w:tcPr>
          <w:p>
            <w:pPr>
              <w:jc w:val="right"/>
              <w:rPr>
                <w:sz w:val="18"/>
                <w:szCs w:val="18"/>
              </w:rPr>
            </w:pPr>
          </w:p>
        </w:tc>
        <w:tc>
          <w:tcPr>
            <w:tcW w:w="618" w:type="pct"/>
            <w:noWrap/>
            <w:vAlign w:val="center"/>
          </w:tcPr>
          <w:p>
            <w:pPr>
              <w:jc w:val="right"/>
              <w:rPr>
                <w:bCs/>
                <w:sz w:val="18"/>
                <w:szCs w:val="18"/>
              </w:rPr>
            </w:pPr>
          </w:p>
        </w:tc>
        <w:tc>
          <w:tcPr>
            <w:tcW w:w="815" w:type="pct"/>
            <w:noWrap/>
            <w:vAlign w:val="center"/>
          </w:tcPr>
          <w:p>
            <w:pPr>
              <w:jc w:val="right"/>
              <w:rPr>
                <w:bCs/>
                <w:sz w:val="18"/>
                <w:szCs w:val="18"/>
              </w:rPr>
            </w:pPr>
          </w:p>
        </w:tc>
        <w:tc>
          <w:tcPr>
            <w:tcW w:w="671" w:type="pct"/>
            <w:vAlign w:val="center"/>
          </w:tcPr>
          <w:p>
            <w:pPr>
              <w:jc w:val="right"/>
              <w:rPr>
                <w:bCs/>
                <w:sz w:val="18"/>
                <w:szCs w:val="18"/>
              </w:rPr>
            </w:pPr>
          </w:p>
        </w:tc>
        <w:tc>
          <w:tcPr>
            <w:tcW w:w="718" w:type="pct"/>
            <w:noWrap/>
            <w:vAlign w:val="center"/>
          </w:tcPr>
          <w:p>
            <w:pPr>
              <w:jc w:val="right"/>
              <w:rPr>
                <w:bCs/>
                <w:sz w:val="18"/>
                <w:szCs w:val="18"/>
              </w:rPr>
            </w:pPr>
          </w:p>
        </w:tc>
        <w:tc>
          <w:tcPr>
            <w:tcW w:w="344" w:type="pct"/>
            <w:noWrap/>
            <w:vAlign w:val="center"/>
          </w:tcPr>
          <w:p>
            <w:pPr>
              <w:jc w:val="right"/>
              <w:rPr>
                <w:sz w:val="18"/>
                <w:szCs w:val="18"/>
              </w:rPr>
            </w:pPr>
          </w:p>
        </w:tc>
        <w:tc>
          <w:tcPr>
            <w:tcW w:w="519" w:type="pct"/>
            <w:noWrap/>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634"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合计</w:t>
            </w:r>
          </w:p>
        </w:tc>
        <w:tc>
          <w:tcPr>
            <w:tcW w:w="676" w:type="pct"/>
            <w:vAlign w:val="center"/>
          </w:tcPr>
          <w:p>
            <w:pPr>
              <w:jc w:val="right"/>
              <w:rPr>
                <w:b/>
                <w:color w:val="000000"/>
                <w:sz w:val="18"/>
                <w:szCs w:val="18"/>
              </w:rPr>
            </w:pPr>
            <w:r>
              <w:rPr>
                <w:rFonts w:hint="eastAsia"/>
                <w:b/>
                <w:color w:val="000000"/>
                <w:sz w:val="18"/>
                <w:szCs w:val="18"/>
              </w:rPr>
              <w:t>2,233,300.00</w:t>
            </w:r>
          </w:p>
        </w:tc>
        <w:tc>
          <w:tcPr>
            <w:tcW w:w="618" w:type="pct"/>
            <w:noWrap/>
            <w:vAlign w:val="center"/>
          </w:tcPr>
          <w:p>
            <w:pPr>
              <w:jc w:val="right"/>
              <w:rPr>
                <w:b/>
                <w:color w:val="000000"/>
                <w:sz w:val="18"/>
                <w:szCs w:val="18"/>
              </w:rPr>
            </w:pPr>
            <w:r>
              <w:rPr>
                <w:rFonts w:hint="eastAsia"/>
                <w:b/>
                <w:sz w:val="18"/>
                <w:szCs w:val="18"/>
              </w:rPr>
              <w:t>3,200.00</w:t>
            </w:r>
          </w:p>
        </w:tc>
        <w:tc>
          <w:tcPr>
            <w:tcW w:w="815" w:type="pct"/>
            <w:noWrap/>
            <w:vAlign w:val="center"/>
          </w:tcPr>
          <w:p>
            <w:pPr>
              <w:jc w:val="right"/>
              <w:rPr>
                <w:b/>
                <w:color w:val="000000"/>
                <w:sz w:val="18"/>
                <w:szCs w:val="18"/>
              </w:rPr>
            </w:pPr>
            <w:r>
              <w:rPr>
                <w:rFonts w:hint="eastAsia"/>
                <w:b/>
                <w:sz w:val="18"/>
                <w:szCs w:val="18"/>
              </w:rPr>
              <w:t>2,236,500.00</w:t>
            </w:r>
            <w:r>
              <w:rPr>
                <w:b/>
                <w:sz w:val="18"/>
                <w:szCs w:val="18"/>
              </w:rPr>
              <w:t>‬</w:t>
            </w:r>
          </w:p>
        </w:tc>
        <w:tc>
          <w:tcPr>
            <w:tcW w:w="671" w:type="pct"/>
            <w:vAlign w:val="center"/>
          </w:tcPr>
          <w:p>
            <w:pPr>
              <w:jc w:val="right"/>
              <w:rPr>
                <w:b/>
                <w:sz w:val="18"/>
                <w:szCs w:val="18"/>
              </w:rPr>
            </w:pPr>
            <w:r>
              <w:rPr>
                <w:rFonts w:hint="eastAsia"/>
                <w:b/>
                <w:sz w:val="18"/>
                <w:szCs w:val="18"/>
              </w:rPr>
              <w:t>1.46</w:t>
            </w:r>
          </w:p>
        </w:tc>
        <w:tc>
          <w:tcPr>
            <w:tcW w:w="718" w:type="pct"/>
            <w:noWrap/>
            <w:vAlign w:val="center"/>
          </w:tcPr>
          <w:p>
            <w:pPr>
              <w:jc w:val="right"/>
              <w:rPr>
                <w:b/>
                <w:color w:val="000000"/>
                <w:sz w:val="18"/>
                <w:szCs w:val="18"/>
              </w:rPr>
            </w:pPr>
            <w:r>
              <w:rPr>
                <w:rFonts w:hint="eastAsia"/>
                <w:b/>
                <w:color w:val="000000"/>
                <w:sz w:val="18"/>
                <w:szCs w:val="18"/>
              </w:rPr>
              <w:t>2,236,500.00</w:t>
            </w:r>
          </w:p>
        </w:tc>
        <w:tc>
          <w:tcPr>
            <w:tcW w:w="344" w:type="pct"/>
            <w:noWrap/>
            <w:vAlign w:val="center"/>
          </w:tcPr>
          <w:p>
            <w:pPr>
              <w:jc w:val="right"/>
              <w:rPr>
                <w:rFonts w:hint="eastAsia" w:eastAsiaTheme="minorEastAsia"/>
                <w:b/>
                <w:bCs w:val="0"/>
                <w:sz w:val="18"/>
                <w:szCs w:val="18"/>
                <w:lang w:val="en-US" w:eastAsia="zh-CN"/>
              </w:rPr>
            </w:pPr>
            <w:r>
              <w:rPr>
                <w:rFonts w:hint="eastAsia" w:eastAsiaTheme="minorEastAsia"/>
                <w:b/>
                <w:bCs w:val="0"/>
                <w:sz w:val="18"/>
                <w:szCs w:val="18"/>
                <w:lang w:val="en-US" w:eastAsia="zh-CN"/>
              </w:rPr>
              <w:t>6.53</w:t>
            </w:r>
          </w:p>
        </w:tc>
        <w:tc>
          <w:tcPr>
            <w:tcW w:w="519" w:type="pct"/>
            <w:noWrap/>
            <w:vAlign w:val="center"/>
          </w:tcPr>
          <w:p>
            <w:pPr>
              <w:jc w:val="right"/>
              <w:rPr>
                <w:b/>
                <w:color w:val="000000"/>
                <w:sz w:val="18"/>
                <w:szCs w:val="18"/>
              </w:rPr>
            </w:pPr>
            <w:r>
              <w:rPr>
                <w:rFonts w:hint="eastAsia" w:eastAsiaTheme="minorEastAsia"/>
                <w:b/>
                <w:bCs w:val="0"/>
                <w:sz w:val="18"/>
                <w:szCs w:val="18"/>
                <w:lang w:val="en-US" w:eastAsia="zh-CN"/>
              </w:rPr>
              <w:t>7.99</w:t>
            </w:r>
          </w:p>
        </w:tc>
      </w:tr>
    </w:tbl>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（二）基本支出情况</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1、基本支出使用明细</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基本支出主要为保障单位机构正常运转、完成日常工作任务而发生的各项支出，包括工资福利支出、对个人和家庭的补助等人员经费和办公费、邮电费、差旅费、维修费、劳务费等日常公用经费。具体明细表如下表所示：</w:t>
      </w:r>
    </w:p>
    <w:p>
      <w:pPr>
        <w:pStyle w:val="2"/>
      </w:pPr>
    </w:p>
    <w:p>
      <w:pPr>
        <w:ind w:firstLine="361"/>
        <w:jc w:val="center"/>
        <w:rPr>
          <w:b/>
          <w:sz w:val="24"/>
        </w:rPr>
      </w:pPr>
      <w:r>
        <w:rPr>
          <w:b/>
          <w:sz w:val="24"/>
        </w:rPr>
        <w:t>20</w:t>
      </w:r>
      <w:r>
        <w:rPr>
          <w:rFonts w:hint="eastAsia"/>
          <w:b/>
          <w:sz w:val="24"/>
        </w:rPr>
        <w:t>20</w:t>
      </w:r>
      <w:r>
        <w:rPr>
          <w:b/>
          <w:sz w:val="24"/>
        </w:rPr>
        <w:t>年</w:t>
      </w:r>
      <w:r>
        <w:rPr>
          <w:rFonts w:hint="eastAsia"/>
          <w:b/>
          <w:sz w:val="24"/>
        </w:rPr>
        <w:t>信息中心</w:t>
      </w:r>
      <w:r>
        <w:rPr>
          <w:b/>
          <w:sz w:val="24"/>
        </w:rPr>
        <w:t>基本支出预算数与决算数对比表</w:t>
      </w:r>
    </w:p>
    <w:p>
      <w:pPr>
        <w:ind w:firstLine="361"/>
        <w:jc w:val="right"/>
        <w:rPr>
          <w:bCs/>
          <w:sz w:val="15"/>
          <w:szCs w:val="21"/>
        </w:rPr>
      </w:pPr>
      <w:r>
        <w:rPr>
          <w:bCs/>
          <w:sz w:val="21"/>
          <w:szCs w:val="21"/>
        </w:rPr>
        <w:t>单位：元</w:t>
      </w:r>
    </w:p>
    <w:tbl>
      <w:tblPr>
        <w:tblStyle w:val="14"/>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724"/>
        <w:gridCol w:w="1532"/>
        <w:gridCol w:w="1633"/>
        <w:gridCol w:w="16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tblHeader/>
        </w:trPr>
        <w:tc>
          <w:tcPr>
            <w:tcW w:w="2185" w:type="pct"/>
            <w:noWrap/>
            <w:vAlign w:val="center"/>
          </w:tcPr>
          <w:p>
            <w:pPr>
              <w:widowControl/>
              <w:jc w:val="center"/>
              <w:rPr>
                <w:rFonts w:ascii="宋体" w:hAnsi="宋体" w:cs="宋体"/>
                <w:b/>
                <w:bCs/>
                <w:color w:val="000000"/>
                <w:sz w:val="22"/>
              </w:rPr>
            </w:pPr>
            <w:r>
              <w:rPr>
                <w:rFonts w:hint="eastAsia" w:ascii="宋体" w:hAnsi="宋体" w:cs="宋体"/>
                <w:b/>
                <w:bCs/>
                <w:color w:val="000000"/>
                <w:sz w:val="22"/>
              </w:rPr>
              <w:t>项目</w:t>
            </w:r>
          </w:p>
        </w:tc>
        <w:tc>
          <w:tcPr>
            <w:tcW w:w="899" w:type="pct"/>
            <w:noWrap/>
            <w:vAlign w:val="center"/>
          </w:tcPr>
          <w:p>
            <w:pPr>
              <w:widowControl/>
              <w:jc w:val="center"/>
              <w:rPr>
                <w:rFonts w:ascii="宋体" w:hAnsi="宋体" w:cs="宋体"/>
                <w:b/>
                <w:bCs/>
                <w:color w:val="000000"/>
                <w:sz w:val="22"/>
              </w:rPr>
            </w:pPr>
            <w:r>
              <w:rPr>
                <w:rFonts w:hint="eastAsia" w:ascii="宋体" w:hAnsi="宋体" w:cs="宋体"/>
                <w:b/>
                <w:bCs/>
                <w:color w:val="000000"/>
                <w:sz w:val="22"/>
              </w:rPr>
              <w:t>年初预算数</w:t>
            </w:r>
          </w:p>
        </w:tc>
        <w:tc>
          <w:tcPr>
            <w:tcW w:w="958" w:type="pct"/>
            <w:vAlign w:val="center"/>
          </w:tcPr>
          <w:p>
            <w:pPr>
              <w:widowControl/>
              <w:jc w:val="center"/>
              <w:rPr>
                <w:rFonts w:hint="eastAsia" w:ascii="宋体" w:hAnsi="宋体" w:cs="宋体"/>
                <w:b/>
                <w:bCs/>
                <w:color w:val="000000"/>
                <w:sz w:val="22"/>
              </w:rPr>
            </w:pPr>
            <w:r>
              <w:rPr>
                <w:rFonts w:hint="eastAsia" w:ascii="宋体" w:hAnsi="宋体" w:cs="宋体"/>
                <w:b/>
                <w:bCs/>
                <w:color w:val="000000"/>
                <w:sz w:val="22"/>
              </w:rPr>
              <w:t>调整预算数</w:t>
            </w:r>
          </w:p>
        </w:tc>
        <w:tc>
          <w:tcPr>
            <w:tcW w:w="958" w:type="pct"/>
            <w:noWrap/>
            <w:vAlign w:val="center"/>
          </w:tcPr>
          <w:p>
            <w:pPr>
              <w:widowControl/>
              <w:jc w:val="center"/>
              <w:rPr>
                <w:rFonts w:ascii="宋体" w:hAnsi="宋体" w:cs="宋体"/>
                <w:b/>
                <w:bCs/>
                <w:color w:val="000000"/>
                <w:sz w:val="22"/>
              </w:rPr>
            </w:pPr>
            <w:r>
              <w:rPr>
                <w:rFonts w:hint="eastAsia" w:ascii="宋体" w:hAnsi="宋体" w:cs="宋体"/>
                <w:b/>
                <w:bCs/>
                <w:color w:val="000000"/>
                <w:sz w:val="22"/>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2185" w:type="pct"/>
            <w:noWrap/>
            <w:vAlign w:val="center"/>
          </w:tcPr>
          <w:p>
            <w:pPr>
              <w:widowControl/>
              <w:rPr>
                <w:rFonts w:ascii="宋体" w:hAnsi="宋体" w:cs="宋体"/>
                <w:szCs w:val="21"/>
              </w:rPr>
            </w:pPr>
            <w:r>
              <w:rPr>
                <w:rFonts w:hint="eastAsia" w:ascii="宋体" w:hAnsi="宋体" w:cs="宋体"/>
                <w:szCs w:val="21"/>
              </w:rPr>
              <w:t>工资福利支出</w:t>
            </w:r>
          </w:p>
        </w:tc>
        <w:tc>
          <w:tcPr>
            <w:tcW w:w="899" w:type="pct"/>
            <w:noWrap/>
            <w:vAlign w:val="center"/>
          </w:tcPr>
          <w:p>
            <w:pPr>
              <w:widowControl/>
              <w:jc w:val="right"/>
              <w:rPr>
                <w:rFonts w:eastAsiaTheme="minorEastAsia"/>
                <w:szCs w:val="21"/>
              </w:rPr>
            </w:pPr>
            <w:r>
              <w:rPr>
                <w:rFonts w:hint="eastAsia" w:eastAsiaTheme="minorEastAsia"/>
                <w:szCs w:val="21"/>
              </w:rPr>
              <w:t>1,588,000.00</w:t>
            </w:r>
          </w:p>
        </w:tc>
        <w:tc>
          <w:tcPr>
            <w:tcW w:w="1633" w:type="dxa"/>
            <w:vAlign w:val="center"/>
          </w:tcPr>
          <w:p>
            <w:pPr>
              <w:widowControl/>
              <w:jc w:val="right"/>
              <w:rPr>
                <w:rFonts w:hint="eastAsia"/>
                <w:szCs w:val="21"/>
              </w:rPr>
            </w:pPr>
            <w:r>
              <w:rPr>
                <w:rFonts w:hint="eastAsia"/>
                <w:szCs w:val="21"/>
              </w:rPr>
              <w:t>1,665,332.98</w:t>
            </w:r>
          </w:p>
        </w:tc>
        <w:tc>
          <w:tcPr>
            <w:tcW w:w="958" w:type="pct"/>
            <w:noWrap/>
            <w:vAlign w:val="center"/>
          </w:tcPr>
          <w:p>
            <w:pPr>
              <w:widowControl/>
              <w:jc w:val="right"/>
              <w:rPr>
                <w:szCs w:val="21"/>
              </w:rPr>
            </w:pPr>
            <w:r>
              <w:rPr>
                <w:rFonts w:hint="eastAsia"/>
                <w:szCs w:val="21"/>
              </w:rPr>
              <w:t>1,665,332.98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185" w:type="pct"/>
            <w:noWrap/>
          </w:tcPr>
          <w:p>
            <w:pPr>
              <w:widowControl/>
              <w:rPr>
                <w:rFonts w:ascii="宋体" w:hAnsi="宋体" w:cs="宋体"/>
                <w:szCs w:val="21"/>
              </w:rPr>
            </w:pPr>
            <w:r>
              <w:rPr>
                <w:rFonts w:hint="eastAsia" w:ascii="宋体" w:hAnsi="宋体" w:cs="宋体"/>
                <w:szCs w:val="21"/>
              </w:rPr>
              <w:t>对个人和家庭的补助</w:t>
            </w:r>
          </w:p>
        </w:tc>
        <w:tc>
          <w:tcPr>
            <w:tcW w:w="899" w:type="pct"/>
            <w:noWrap/>
            <w:vAlign w:val="center"/>
          </w:tcPr>
          <w:p>
            <w:pPr>
              <w:widowControl/>
              <w:jc w:val="right"/>
              <w:rPr>
                <w:rFonts w:eastAsiaTheme="minorEastAsia"/>
                <w:szCs w:val="21"/>
              </w:rPr>
            </w:pPr>
            <w:r>
              <w:rPr>
                <w:rFonts w:hint="eastAsia"/>
                <w:szCs w:val="21"/>
              </w:rPr>
              <w:t>-</w:t>
            </w:r>
          </w:p>
        </w:tc>
        <w:tc>
          <w:tcPr>
            <w:tcW w:w="1633" w:type="dxa"/>
            <w:vAlign w:val="center"/>
          </w:tcPr>
          <w:p>
            <w:pPr>
              <w:widowControl/>
              <w:jc w:val="right"/>
              <w:rPr>
                <w:rFonts w:hint="eastAsia"/>
                <w:szCs w:val="21"/>
              </w:rPr>
            </w:pPr>
            <w:r>
              <w:rPr>
                <w:rFonts w:hint="eastAsia"/>
                <w:szCs w:val="21"/>
              </w:rPr>
              <w:t>4,560.00</w:t>
            </w:r>
          </w:p>
        </w:tc>
        <w:tc>
          <w:tcPr>
            <w:tcW w:w="958" w:type="pct"/>
            <w:noWrap/>
            <w:vAlign w:val="center"/>
          </w:tcPr>
          <w:p>
            <w:pPr>
              <w:widowControl/>
              <w:jc w:val="right"/>
              <w:rPr>
                <w:szCs w:val="21"/>
              </w:rPr>
            </w:pPr>
            <w:r>
              <w:rPr>
                <w:rFonts w:hint="eastAsia"/>
                <w:szCs w:val="21"/>
              </w:rPr>
              <w:t>4,560.00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atLeast"/>
        </w:trPr>
        <w:tc>
          <w:tcPr>
            <w:tcW w:w="2185" w:type="pct"/>
            <w:noWrap/>
            <w:vAlign w:val="center"/>
          </w:tcPr>
          <w:p>
            <w:pPr>
              <w:widowControl/>
              <w:jc w:val="center"/>
              <w:rPr>
                <w:rFonts w:ascii="宋体" w:hAnsi="宋体" w:cs="宋体"/>
                <w:b/>
                <w:bCs/>
                <w:szCs w:val="21"/>
              </w:rPr>
            </w:pPr>
            <w:r>
              <w:rPr>
                <w:rFonts w:hint="eastAsia" w:ascii="宋体" w:hAnsi="宋体" w:cs="宋体"/>
                <w:b/>
                <w:bCs/>
                <w:szCs w:val="21"/>
              </w:rPr>
              <w:t>人员经费小计</w:t>
            </w:r>
          </w:p>
        </w:tc>
        <w:tc>
          <w:tcPr>
            <w:tcW w:w="899" w:type="pct"/>
            <w:noWrap/>
            <w:vAlign w:val="center"/>
          </w:tcPr>
          <w:p>
            <w:pPr>
              <w:widowControl/>
              <w:jc w:val="right"/>
              <w:rPr>
                <w:rFonts w:eastAsiaTheme="minorEastAsia"/>
                <w:b/>
                <w:bCs/>
                <w:szCs w:val="21"/>
              </w:rPr>
            </w:pPr>
            <w:r>
              <w:rPr>
                <w:rFonts w:hint="eastAsia" w:eastAsiaTheme="minorEastAsia"/>
                <w:b/>
                <w:bCs/>
                <w:szCs w:val="21"/>
              </w:rPr>
              <w:t>1,588,000.00</w:t>
            </w:r>
            <w:r>
              <w:rPr>
                <w:rFonts w:hint="eastAsia" w:ascii="MS Gothic" w:hAnsi="MS Gothic" w:eastAsia="MS Gothic" w:cs="MS Gothic"/>
                <w:b/>
                <w:bCs/>
                <w:szCs w:val="21"/>
              </w:rPr>
              <w:t>‬</w:t>
            </w:r>
          </w:p>
        </w:tc>
        <w:tc>
          <w:tcPr>
            <w:tcW w:w="958" w:type="pct"/>
            <w:vAlign w:val="center"/>
          </w:tcPr>
          <w:p>
            <w:pPr>
              <w:widowControl/>
              <w:jc w:val="right"/>
              <w:rPr>
                <w:rFonts w:hint="eastAsia" w:eastAsiaTheme="minorEastAsia"/>
                <w:b/>
                <w:bCs/>
                <w:szCs w:val="21"/>
              </w:rPr>
            </w:pPr>
            <w:r>
              <w:rPr>
                <w:rFonts w:hint="eastAsia"/>
                <w:b/>
                <w:szCs w:val="21"/>
              </w:rPr>
              <w:t>1</w:t>
            </w:r>
            <w:r>
              <w:rPr>
                <w:b/>
                <w:szCs w:val="21"/>
              </w:rPr>
              <w:t>,669,892.98</w:t>
            </w:r>
          </w:p>
        </w:tc>
        <w:tc>
          <w:tcPr>
            <w:tcW w:w="958" w:type="pct"/>
            <w:noWrap/>
            <w:vAlign w:val="center"/>
          </w:tcPr>
          <w:p>
            <w:pPr>
              <w:widowControl/>
              <w:jc w:val="right"/>
              <w:rPr>
                <w:rFonts w:eastAsiaTheme="minorEastAsia"/>
                <w:b/>
                <w:bCs/>
                <w:szCs w:val="21"/>
              </w:rPr>
            </w:pPr>
            <w:r>
              <w:rPr>
                <w:rFonts w:hint="eastAsia" w:eastAsiaTheme="minorEastAsia"/>
                <w:b/>
                <w:bCs/>
                <w:szCs w:val="21"/>
              </w:rPr>
              <w:t>1,669,892.98</w:t>
            </w:r>
            <w:r>
              <w:rPr>
                <w:rFonts w:hint="eastAsia" w:ascii="MS Gothic" w:hAnsi="MS Gothic" w:eastAsia="MS Gothic" w:cs="MS Gothic"/>
                <w:b/>
                <w:bCs/>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185" w:type="pct"/>
            <w:noWrap/>
          </w:tcPr>
          <w:p>
            <w:pPr>
              <w:widowControl/>
              <w:rPr>
                <w:rFonts w:ascii="宋体" w:hAnsi="宋体" w:cs="宋体"/>
                <w:szCs w:val="21"/>
              </w:rPr>
            </w:pPr>
            <w:r>
              <w:rPr>
                <w:rFonts w:hint="eastAsia" w:ascii="宋体" w:hAnsi="宋体" w:cs="宋体"/>
                <w:szCs w:val="21"/>
              </w:rPr>
              <w:t>商品和服务支出</w:t>
            </w:r>
          </w:p>
        </w:tc>
        <w:tc>
          <w:tcPr>
            <w:tcW w:w="899" w:type="pct"/>
            <w:noWrap/>
            <w:vAlign w:val="center"/>
          </w:tcPr>
          <w:p>
            <w:pPr>
              <w:widowControl/>
              <w:jc w:val="right"/>
              <w:rPr>
                <w:rFonts w:eastAsiaTheme="minorEastAsia"/>
                <w:szCs w:val="21"/>
              </w:rPr>
            </w:pPr>
            <w:r>
              <w:rPr>
                <w:rFonts w:hint="eastAsia" w:eastAsiaTheme="minorEastAsia"/>
                <w:szCs w:val="21"/>
              </w:rPr>
              <w:t>645,300.00</w:t>
            </w:r>
          </w:p>
        </w:tc>
        <w:tc>
          <w:tcPr>
            <w:tcW w:w="1633" w:type="dxa"/>
            <w:vAlign w:val="center"/>
          </w:tcPr>
          <w:p>
            <w:pPr>
              <w:widowControl/>
              <w:jc w:val="right"/>
              <w:textAlignment w:val="center"/>
              <w:rPr>
                <w:rFonts w:hint="eastAsia"/>
                <w:szCs w:val="21"/>
              </w:rPr>
            </w:pPr>
            <w:r>
              <w:rPr>
                <w:rFonts w:hint="eastAsia"/>
                <w:szCs w:val="21"/>
              </w:rPr>
              <w:t>557,941.32</w:t>
            </w:r>
          </w:p>
        </w:tc>
        <w:tc>
          <w:tcPr>
            <w:tcW w:w="958" w:type="pct"/>
            <w:noWrap/>
            <w:vAlign w:val="center"/>
          </w:tcPr>
          <w:p>
            <w:pPr>
              <w:widowControl/>
              <w:jc w:val="right"/>
              <w:textAlignment w:val="center"/>
              <w:rPr>
                <w:rFonts w:ascii="宋体" w:hAnsi="宋体" w:cs="宋体"/>
                <w:color w:val="000000"/>
                <w:sz w:val="22"/>
                <w:szCs w:val="22"/>
              </w:rPr>
            </w:pPr>
            <w:r>
              <w:rPr>
                <w:rFonts w:hint="eastAsia"/>
                <w:szCs w:val="21"/>
              </w:rPr>
              <w:t>557,941.32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185" w:type="pct"/>
            <w:noWrap/>
          </w:tcPr>
          <w:p>
            <w:pPr>
              <w:widowControl/>
              <w:jc w:val="left"/>
              <w:rPr>
                <w:rFonts w:ascii="宋体" w:hAnsi="宋体" w:cs="宋体"/>
                <w:szCs w:val="21"/>
              </w:rPr>
            </w:pPr>
            <w:r>
              <w:rPr>
                <w:rFonts w:hint="eastAsia" w:ascii="宋体" w:hAnsi="宋体" w:cs="宋体"/>
                <w:szCs w:val="21"/>
              </w:rPr>
              <w:t>资本性支出</w:t>
            </w:r>
          </w:p>
        </w:tc>
        <w:tc>
          <w:tcPr>
            <w:tcW w:w="899" w:type="pct"/>
            <w:noWrap/>
            <w:vAlign w:val="center"/>
          </w:tcPr>
          <w:p>
            <w:pPr>
              <w:widowControl/>
              <w:jc w:val="right"/>
              <w:rPr>
                <w:szCs w:val="21"/>
              </w:rPr>
            </w:pPr>
          </w:p>
        </w:tc>
        <w:tc>
          <w:tcPr>
            <w:tcW w:w="1633" w:type="dxa"/>
            <w:vAlign w:val="center"/>
          </w:tcPr>
          <w:p>
            <w:pPr>
              <w:widowControl/>
              <w:jc w:val="right"/>
              <w:rPr>
                <w:rFonts w:hint="eastAsia"/>
                <w:szCs w:val="21"/>
              </w:rPr>
            </w:pPr>
            <w:r>
              <w:rPr>
                <w:rFonts w:hint="eastAsia"/>
                <w:szCs w:val="21"/>
              </w:rPr>
              <w:t>8,665.70</w:t>
            </w:r>
          </w:p>
        </w:tc>
        <w:tc>
          <w:tcPr>
            <w:tcW w:w="958" w:type="pct"/>
            <w:noWrap/>
            <w:vAlign w:val="center"/>
          </w:tcPr>
          <w:p>
            <w:pPr>
              <w:widowControl/>
              <w:jc w:val="right"/>
              <w:rPr>
                <w:szCs w:val="21"/>
              </w:rPr>
            </w:pPr>
            <w:r>
              <w:rPr>
                <w:rFonts w:hint="eastAsia"/>
                <w:szCs w:val="21"/>
              </w:rPr>
              <w:t>8,665.70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2185" w:type="pct"/>
            <w:noWrap/>
            <w:vAlign w:val="center"/>
          </w:tcPr>
          <w:p>
            <w:pPr>
              <w:widowControl/>
              <w:jc w:val="center"/>
              <w:rPr>
                <w:rFonts w:ascii="宋体" w:hAnsi="宋体" w:cs="宋体"/>
                <w:b/>
                <w:bCs/>
                <w:szCs w:val="21"/>
              </w:rPr>
            </w:pPr>
            <w:r>
              <w:rPr>
                <w:rFonts w:hint="eastAsia" w:ascii="宋体" w:hAnsi="宋体" w:cs="宋体"/>
                <w:b/>
                <w:bCs/>
                <w:szCs w:val="21"/>
              </w:rPr>
              <w:t>日常公用经费小计</w:t>
            </w:r>
          </w:p>
        </w:tc>
        <w:tc>
          <w:tcPr>
            <w:tcW w:w="899" w:type="pct"/>
            <w:noWrap/>
            <w:vAlign w:val="center"/>
          </w:tcPr>
          <w:p>
            <w:pPr>
              <w:widowControl/>
              <w:jc w:val="right"/>
              <w:rPr>
                <w:rFonts w:eastAsiaTheme="minorEastAsia"/>
                <w:b/>
                <w:bCs/>
                <w:szCs w:val="21"/>
              </w:rPr>
            </w:pPr>
            <w:r>
              <w:rPr>
                <w:rFonts w:hint="eastAsia" w:eastAsiaTheme="minorEastAsia"/>
                <w:b/>
                <w:bCs/>
                <w:szCs w:val="21"/>
              </w:rPr>
              <w:t>645,300.00</w:t>
            </w:r>
          </w:p>
        </w:tc>
        <w:tc>
          <w:tcPr>
            <w:tcW w:w="958" w:type="pct"/>
            <w:vAlign w:val="center"/>
          </w:tcPr>
          <w:p>
            <w:pPr>
              <w:widowControl/>
              <w:jc w:val="right"/>
              <w:rPr>
                <w:rFonts w:hint="eastAsia" w:eastAsiaTheme="minorEastAsia"/>
                <w:b/>
                <w:bCs/>
                <w:szCs w:val="21"/>
              </w:rPr>
            </w:pPr>
            <w:r>
              <w:rPr>
                <w:rFonts w:hint="eastAsia"/>
                <w:b/>
                <w:szCs w:val="21"/>
              </w:rPr>
              <w:t>5</w:t>
            </w:r>
            <w:r>
              <w:rPr>
                <w:b/>
                <w:szCs w:val="21"/>
              </w:rPr>
              <w:t>66,607.02</w:t>
            </w:r>
          </w:p>
        </w:tc>
        <w:tc>
          <w:tcPr>
            <w:tcW w:w="958" w:type="pct"/>
            <w:noWrap/>
            <w:vAlign w:val="center"/>
          </w:tcPr>
          <w:p>
            <w:pPr>
              <w:widowControl/>
              <w:jc w:val="right"/>
              <w:rPr>
                <w:rFonts w:eastAsiaTheme="minorEastAsia"/>
                <w:b/>
                <w:bCs/>
                <w:szCs w:val="21"/>
              </w:rPr>
            </w:pPr>
            <w:r>
              <w:rPr>
                <w:rFonts w:hint="eastAsia" w:eastAsiaTheme="minorEastAsia"/>
                <w:b/>
                <w:bCs/>
                <w:szCs w:val="21"/>
              </w:rPr>
              <w:t>566,607.02</w:t>
            </w:r>
            <w:r>
              <w:rPr>
                <w:rFonts w:hint="eastAsia" w:ascii="MS Gothic" w:hAnsi="MS Gothic" w:eastAsia="MS Gothic" w:cs="MS Gothic"/>
                <w:b/>
                <w:bCs/>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2185" w:type="pct"/>
            <w:noWrap/>
            <w:vAlign w:val="center"/>
          </w:tcPr>
          <w:p>
            <w:pPr>
              <w:widowControl/>
              <w:jc w:val="center"/>
              <w:rPr>
                <w:rFonts w:ascii="宋体" w:hAnsi="宋体" w:cs="宋体"/>
                <w:b/>
                <w:bCs/>
                <w:szCs w:val="21"/>
              </w:rPr>
            </w:pPr>
            <w:r>
              <w:rPr>
                <w:rFonts w:hint="eastAsia" w:ascii="宋体" w:hAnsi="宋体" w:cs="宋体"/>
                <w:b/>
                <w:bCs/>
                <w:szCs w:val="21"/>
              </w:rPr>
              <w:t>合计</w:t>
            </w:r>
          </w:p>
        </w:tc>
        <w:tc>
          <w:tcPr>
            <w:tcW w:w="899" w:type="pct"/>
            <w:noWrap/>
            <w:vAlign w:val="center"/>
          </w:tcPr>
          <w:p>
            <w:pPr>
              <w:widowControl/>
              <w:jc w:val="right"/>
              <w:rPr>
                <w:rFonts w:eastAsiaTheme="minorEastAsia"/>
                <w:b/>
                <w:bCs/>
                <w:szCs w:val="21"/>
              </w:rPr>
            </w:pPr>
            <w:r>
              <w:rPr>
                <w:rFonts w:hint="eastAsia" w:eastAsiaTheme="minorEastAsia"/>
                <w:b/>
                <w:bCs/>
                <w:szCs w:val="21"/>
              </w:rPr>
              <w:t>2,233,300.00</w:t>
            </w:r>
          </w:p>
        </w:tc>
        <w:tc>
          <w:tcPr>
            <w:tcW w:w="958" w:type="pct"/>
            <w:vAlign w:val="center"/>
          </w:tcPr>
          <w:p>
            <w:pPr>
              <w:widowControl/>
              <w:jc w:val="right"/>
              <w:rPr>
                <w:rFonts w:hint="eastAsia" w:eastAsiaTheme="minorEastAsia"/>
                <w:b/>
                <w:bCs/>
                <w:szCs w:val="21"/>
              </w:rPr>
            </w:pPr>
            <w:r>
              <w:rPr>
                <w:rFonts w:hint="eastAsia" w:eastAsiaTheme="minorEastAsia"/>
                <w:b/>
                <w:bCs/>
                <w:szCs w:val="21"/>
              </w:rPr>
              <w:t>2</w:t>
            </w:r>
            <w:r>
              <w:rPr>
                <w:rFonts w:eastAsiaTheme="minorEastAsia"/>
                <w:b/>
                <w:bCs/>
                <w:szCs w:val="21"/>
              </w:rPr>
              <w:t>,236,500.00</w:t>
            </w:r>
          </w:p>
        </w:tc>
        <w:tc>
          <w:tcPr>
            <w:tcW w:w="958" w:type="pct"/>
            <w:noWrap/>
            <w:vAlign w:val="center"/>
          </w:tcPr>
          <w:p>
            <w:pPr>
              <w:widowControl/>
              <w:jc w:val="right"/>
              <w:rPr>
                <w:rFonts w:eastAsiaTheme="minorEastAsia"/>
                <w:b/>
                <w:bCs/>
                <w:szCs w:val="21"/>
              </w:rPr>
            </w:pPr>
            <w:r>
              <w:rPr>
                <w:rFonts w:hint="eastAsia" w:eastAsiaTheme="minorEastAsia"/>
                <w:b/>
                <w:bCs/>
                <w:szCs w:val="21"/>
              </w:rPr>
              <w:t>2,236,500.00</w:t>
            </w:r>
          </w:p>
        </w:tc>
      </w:tr>
    </w:tbl>
    <w:p>
      <w:pPr>
        <w:spacing w:before="156" w:beforeLines="50"/>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年中预算调整3,200.00元原因为</w:t>
      </w:r>
      <w:r>
        <w:rPr>
          <w:rFonts w:hint="eastAsia" w:asciiTheme="minorEastAsia" w:hAnsiTheme="minorEastAsia" w:cstheme="minorEastAsia"/>
          <w:sz w:val="28"/>
          <w:szCs w:val="28"/>
          <w:lang w:val="en-US" w:eastAsia="zh-CN"/>
        </w:rPr>
        <w:t>调增</w:t>
      </w:r>
      <w:r>
        <w:rPr>
          <w:rFonts w:hint="eastAsia" w:asciiTheme="minorEastAsia" w:hAnsiTheme="minorEastAsia" w:cstheme="minorEastAsia"/>
          <w:sz w:val="28"/>
          <w:szCs w:val="28"/>
        </w:rPr>
        <w:t>省直部门安排的2</w:t>
      </w:r>
      <w:r>
        <w:rPr>
          <w:rFonts w:asciiTheme="minorEastAsia" w:hAnsiTheme="minorEastAsia" w:cstheme="minorEastAsia"/>
          <w:sz w:val="28"/>
          <w:szCs w:val="28"/>
        </w:rPr>
        <w:t>019</w:t>
      </w:r>
      <w:r>
        <w:rPr>
          <w:rFonts w:hint="eastAsia" w:asciiTheme="minorEastAsia" w:hAnsiTheme="minorEastAsia" w:cstheme="minorEastAsia"/>
          <w:sz w:val="28"/>
          <w:szCs w:val="28"/>
        </w:rPr>
        <w:t>-</w:t>
      </w:r>
      <w:r>
        <w:rPr>
          <w:rFonts w:asciiTheme="minorEastAsia" w:hAnsiTheme="minorEastAsia" w:cstheme="minorEastAsia"/>
          <w:sz w:val="28"/>
          <w:szCs w:val="28"/>
        </w:rPr>
        <w:t>2020年度综治奖</w:t>
      </w:r>
      <w:r>
        <w:rPr>
          <w:rFonts w:hint="eastAsia" w:asciiTheme="minorEastAsia" w:hAnsiTheme="minorEastAsia" w:cstheme="minorEastAsia"/>
          <w:sz w:val="28"/>
          <w:szCs w:val="28"/>
          <w:lang w:val="en-US" w:eastAsia="zh-CN"/>
        </w:rPr>
        <w:t>43,200.00元，调减公用经费40,000.00元，部门整体支出按调整预算数控制</w:t>
      </w:r>
      <w:r>
        <w:rPr>
          <w:rFonts w:hint="eastAsia" w:asciiTheme="minorEastAsia" w:hAnsiTheme="minorEastAsia" w:cstheme="minorEastAsia"/>
          <w:sz w:val="28"/>
          <w:szCs w:val="28"/>
        </w:rPr>
        <w:t>。</w:t>
      </w:r>
    </w:p>
    <w:p>
      <w:pPr>
        <w:ind w:left="561"/>
        <w:rPr>
          <w:rFonts w:asciiTheme="minorEastAsia" w:hAnsiTheme="minorEastAsia" w:cstheme="minorEastAsia"/>
          <w:sz w:val="28"/>
          <w:szCs w:val="28"/>
        </w:rPr>
      </w:pPr>
      <w:r>
        <w:rPr>
          <w:rFonts w:hint="eastAsia" w:asciiTheme="minorEastAsia" w:hAnsiTheme="minorEastAsia" w:cstheme="minorEastAsia"/>
          <w:sz w:val="28"/>
          <w:szCs w:val="28"/>
        </w:rPr>
        <w:t>2、支出管理情况</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信息中心2020年度严格按照预算批复及预算规定的开支范围进行资金使用，并依照相关财务制度进行资金使用的审批与核算，不存在无预算、超预算支出现象。</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3、公用经费支出情况</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信息中心2020年度公用经费决算数566,607.02元，2019年度公用经费决算数408,298.68元，较上年增加158,308.34元，其中维修费比上年增加157,732.10万元，系湖南省工信厅门户网站开发及维护、计算机网络安全加固、信息管理系统等业务逐步转至信息中心，导致维修费用增加。</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4、三公经费支出情况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无。</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（三）项目支出情况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无。</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三、政府性基金预算支出情况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无。</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四、国有资本经营预算支出情况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无。</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五、社会保险基金预算支出情况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无。</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六、部门整体支出绩效情况</w:t>
      </w:r>
    </w:p>
    <w:p>
      <w:pPr>
        <w:pStyle w:val="5"/>
        <w:spacing w:before="0" w:after="0" w:line="360" w:lineRule="auto"/>
        <w:ind w:left="420" w:left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（一）资产管理情况</w:t>
      </w:r>
    </w:p>
    <w:p>
      <w:pPr>
        <w:pStyle w:val="5"/>
        <w:spacing w:before="0" w:after="0" w:line="560" w:lineRule="exact"/>
        <w:ind w:firstLine="560" w:firstLineChars="200"/>
        <w:rPr>
          <w:rFonts w:asciiTheme="majorEastAsia" w:hAnsiTheme="majorEastAsia" w:eastAsiaTheme="majorEastAsia" w:cstheme="majorEastAsia"/>
          <w:b w:val="0"/>
          <w:bCs w:val="0"/>
          <w:sz w:val="28"/>
          <w:szCs w:val="36"/>
        </w:rPr>
      </w:pPr>
      <w:r>
        <w:rPr>
          <w:rFonts w:hint="eastAsia" w:asciiTheme="majorEastAsia" w:hAnsiTheme="majorEastAsia" w:eastAsiaTheme="majorEastAsia" w:cstheme="majorEastAsia"/>
          <w:b w:val="0"/>
          <w:bCs w:val="0"/>
          <w:sz w:val="28"/>
          <w:szCs w:val="36"/>
        </w:rPr>
        <w:t>1、2020年期末固定资产情况</w:t>
      </w:r>
    </w:p>
    <w:p>
      <w:pPr>
        <w:spacing w:line="560" w:lineRule="exact"/>
        <w:ind w:firstLine="560" w:firstLineChars="200"/>
        <w:rPr>
          <w:rFonts w:eastAsia="仿宋_GB2312"/>
          <w:sz w:val="32"/>
          <w:szCs w:val="32"/>
        </w:rPr>
      </w:pPr>
      <w:r>
        <w:rPr>
          <w:rFonts w:hint="eastAsia" w:asciiTheme="majorEastAsia" w:hAnsiTheme="majorEastAsia" w:eastAsiaTheme="majorEastAsia" w:cstheme="majorEastAsia"/>
          <w:sz w:val="28"/>
          <w:szCs w:val="36"/>
        </w:rPr>
        <w:t>2020年12月31日信息中心固定资产原值675,879.70元、累计折旧637,610.64元、资产净值38,269.06元。期末固定资产明细如下所示：</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1733"/>
        <w:gridCol w:w="1911"/>
        <w:gridCol w:w="170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pPr>
              <w:widowControl/>
              <w:jc w:val="center"/>
              <w:textAlignment w:val="center"/>
              <w:rPr>
                <w:b/>
                <w:bCs/>
                <w:kern w:val="0"/>
                <w:szCs w:val="21"/>
                <w:lang w:bidi="ar"/>
              </w:rPr>
            </w:pPr>
            <w:r>
              <w:rPr>
                <w:rFonts w:hint="eastAsia"/>
                <w:b/>
                <w:bCs/>
                <w:kern w:val="0"/>
                <w:szCs w:val="21"/>
                <w:lang w:bidi="ar"/>
              </w:rPr>
              <w:t>分类</w:t>
            </w:r>
          </w:p>
        </w:tc>
        <w:tc>
          <w:tcPr>
            <w:tcW w:w="1733" w:type="dxa"/>
            <w:vAlign w:val="center"/>
          </w:tcPr>
          <w:p>
            <w:pPr>
              <w:widowControl/>
              <w:jc w:val="center"/>
              <w:textAlignment w:val="center"/>
              <w:rPr>
                <w:b/>
                <w:bCs/>
                <w:kern w:val="0"/>
                <w:szCs w:val="21"/>
                <w:lang w:bidi="ar"/>
              </w:rPr>
            </w:pPr>
            <w:r>
              <w:rPr>
                <w:rFonts w:hint="eastAsia"/>
                <w:b/>
                <w:bCs/>
                <w:kern w:val="0"/>
                <w:szCs w:val="21"/>
                <w:lang w:bidi="ar"/>
              </w:rPr>
              <w:t>固定资产原值</w:t>
            </w:r>
          </w:p>
        </w:tc>
        <w:tc>
          <w:tcPr>
            <w:tcW w:w="1911" w:type="dxa"/>
            <w:vAlign w:val="center"/>
          </w:tcPr>
          <w:p>
            <w:pPr>
              <w:widowControl/>
              <w:jc w:val="center"/>
              <w:textAlignment w:val="center"/>
              <w:rPr>
                <w:b/>
                <w:bCs/>
                <w:kern w:val="0"/>
                <w:szCs w:val="21"/>
                <w:lang w:bidi="ar"/>
              </w:rPr>
            </w:pPr>
            <w:r>
              <w:rPr>
                <w:rFonts w:hint="eastAsia"/>
                <w:b/>
                <w:bCs/>
                <w:kern w:val="0"/>
                <w:szCs w:val="21"/>
                <w:lang w:bidi="ar"/>
              </w:rPr>
              <w:t>固定资产累计折旧</w:t>
            </w:r>
          </w:p>
        </w:tc>
        <w:tc>
          <w:tcPr>
            <w:tcW w:w="1704" w:type="dxa"/>
            <w:vAlign w:val="center"/>
          </w:tcPr>
          <w:p>
            <w:pPr>
              <w:widowControl/>
              <w:jc w:val="center"/>
              <w:textAlignment w:val="center"/>
              <w:rPr>
                <w:b/>
                <w:bCs/>
                <w:kern w:val="0"/>
                <w:szCs w:val="21"/>
                <w:lang w:bidi="ar"/>
              </w:rPr>
            </w:pPr>
            <w:r>
              <w:rPr>
                <w:rFonts w:hint="eastAsia"/>
                <w:b/>
                <w:bCs/>
                <w:kern w:val="0"/>
                <w:szCs w:val="21"/>
                <w:lang w:bidi="ar"/>
              </w:rPr>
              <w:t>固定资产净值</w:t>
            </w:r>
          </w:p>
        </w:tc>
        <w:tc>
          <w:tcPr>
            <w:tcW w:w="1307" w:type="dxa"/>
            <w:vAlign w:val="center"/>
          </w:tcPr>
          <w:p>
            <w:pPr>
              <w:widowControl/>
              <w:jc w:val="center"/>
              <w:textAlignment w:val="center"/>
              <w:rPr>
                <w:b/>
                <w:bCs/>
                <w:kern w:val="0"/>
                <w:szCs w:val="21"/>
                <w:lang w:bidi="ar"/>
              </w:rPr>
            </w:pPr>
            <w:r>
              <w:rPr>
                <w:rFonts w:hint="eastAsia"/>
                <w:b/>
                <w:bCs/>
                <w:kern w:val="0"/>
                <w:szCs w:val="21"/>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pPr>
              <w:widowControl/>
              <w:jc w:val="center"/>
              <w:textAlignment w:val="center"/>
              <w:rPr>
                <w:rFonts w:eastAsia="仿宋_GB2312"/>
                <w:szCs w:val="21"/>
              </w:rPr>
            </w:pPr>
            <w:r>
              <w:rPr>
                <w:kern w:val="0"/>
                <w:szCs w:val="21"/>
                <w:lang w:bidi="ar"/>
              </w:rPr>
              <w:t>通用设备</w:t>
            </w:r>
          </w:p>
        </w:tc>
        <w:tc>
          <w:tcPr>
            <w:tcW w:w="1733" w:type="dxa"/>
            <w:vAlign w:val="center"/>
          </w:tcPr>
          <w:p>
            <w:pPr>
              <w:widowControl/>
              <w:jc w:val="right"/>
              <w:textAlignment w:val="center"/>
              <w:rPr>
                <w:kern w:val="0"/>
                <w:szCs w:val="21"/>
                <w:lang w:bidi="ar"/>
              </w:rPr>
            </w:pPr>
            <w:r>
              <w:rPr>
                <w:rFonts w:hint="eastAsia"/>
                <w:kern w:val="0"/>
                <w:szCs w:val="21"/>
                <w:lang w:bidi="ar"/>
              </w:rPr>
              <w:t>665,654.00</w:t>
            </w:r>
          </w:p>
        </w:tc>
        <w:tc>
          <w:tcPr>
            <w:tcW w:w="1911" w:type="dxa"/>
            <w:vAlign w:val="center"/>
          </w:tcPr>
          <w:p>
            <w:pPr>
              <w:widowControl/>
              <w:jc w:val="right"/>
              <w:textAlignment w:val="center"/>
              <w:rPr>
                <w:kern w:val="0"/>
                <w:szCs w:val="21"/>
                <w:lang w:bidi="ar"/>
              </w:rPr>
            </w:pPr>
            <w:r>
              <w:rPr>
                <w:rFonts w:hint="eastAsia"/>
                <w:kern w:val="0"/>
                <w:szCs w:val="21"/>
                <w:lang w:bidi="ar"/>
              </w:rPr>
              <w:t>635,450.59</w:t>
            </w:r>
          </w:p>
        </w:tc>
        <w:tc>
          <w:tcPr>
            <w:tcW w:w="1704" w:type="dxa"/>
            <w:vAlign w:val="center"/>
          </w:tcPr>
          <w:p>
            <w:pPr>
              <w:widowControl/>
              <w:jc w:val="right"/>
              <w:textAlignment w:val="center"/>
              <w:rPr>
                <w:kern w:val="0"/>
                <w:szCs w:val="21"/>
                <w:lang w:bidi="ar"/>
              </w:rPr>
            </w:pPr>
            <w:r>
              <w:rPr>
                <w:rFonts w:hint="eastAsia"/>
                <w:kern w:val="0"/>
                <w:szCs w:val="21"/>
                <w:lang w:bidi="ar"/>
              </w:rPr>
              <w:t>30,203.41</w:t>
            </w:r>
          </w:p>
        </w:tc>
        <w:tc>
          <w:tcPr>
            <w:tcW w:w="1307" w:type="dxa"/>
            <w:vAlign w:val="center"/>
          </w:tcPr>
          <w:p>
            <w:pPr>
              <w:widowControl/>
              <w:jc w:val="right"/>
              <w:textAlignment w:val="bottom"/>
              <w:rPr>
                <w:szCs w:val="21"/>
              </w:rPr>
            </w:pPr>
            <w:r>
              <w:rPr>
                <w:rFonts w:ascii="Arial" w:hAnsi="Arial" w:cs="Arial"/>
                <w:color w:val="000000"/>
                <w:kern w:val="0"/>
                <w:sz w:val="20"/>
                <w:szCs w:val="20"/>
                <w:lang w:bidi="ar"/>
              </w:rPr>
              <w:t>9</w:t>
            </w:r>
            <w:r>
              <w:rPr>
                <w:rFonts w:hint="eastAsia" w:ascii="Arial" w:hAnsi="Arial" w:cs="Arial"/>
                <w:color w:val="000000"/>
                <w:kern w:val="0"/>
                <w:sz w:val="20"/>
                <w:szCs w:val="20"/>
                <w:lang w:bidi="ar"/>
              </w:rPr>
              <w:t>8</w:t>
            </w:r>
            <w:r>
              <w:rPr>
                <w:rFonts w:ascii="Arial" w:hAnsi="Arial" w:cs="Arial"/>
                <w:color w:val="000000"/>
                <w:kern w:val="0"/>
                <w:sz w:val="20"/>
                <w:szCs w:val="20"/>
                <w:lang w:bidi="ar"/>
              </w:rPr>
              <w:t>.</w:t>
            </w:r>
            <w:r>
              <w:rPr>
                <w:rFonts w:hint="eastAsia" w:ascii="Arial" w:hAnsi="Arial" w:cs="Arial"/>
                <w:color w:val="000000"/>
                <w:kern w:val="0"/>
                <w:sz w:val="20"/>
                <w:szCs w:val="20"/>
                <w:lang w:bidi="ar"/>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pPr>
              <w:widowControl/>
              <w:jc w:val="center"/>
              <w:textAlignment w:val="center"/>
              <w:rPr>
                <w:b/>
                <w:bCs/>
                <w:kern w:val="0"/>
                <w:szCs w:val="21"/>
                <w:lang w:bidi="ar"/>
              </w:rPr>
            </w:pPr>
            <w:r>
              <w:rPr>
                <w:kern w:val="0"/>
                <w:szCs w:val="21"/>
                <w:lang w:bidi="ar"/>
              </w:rPr>
              <w:t>家具、用具、装具及动植物</w:t>
            </w:r>
          </w:p>
        </w:tc>
        <w:tc>
          <w:tcPr>
            <w:tcW w:w="1733" w:type="dxa"/>
            <w:vAlign w:val="center"/>
          </w:tcPr>
          <w:p>
            <w:pPr>
              <w:widowControl/>
              <w:jc w:val="right"/>
              <w:textAlignment w:val="center"/>
              <w:rPr>
                <w:kern w:val="0"/>
                <w:szCs w:val="21"/>
                <w:lang w:bidi="ar"/>
              </w:rPr>
            </w:pPr>
            <w:r>
              <w:rPr>
                <w:rFonts w:hint="eastAsia"/>
                <w:kern w:val="0"/>
                <w:szCs w:val="21"/>
                <w:lang w:bidi="ar"/>
              </w:rPr>
              <w:t>10,225.70</w:t>
            </w:r>
          </w:p>
        </w:tc>
        <w:tc>
          <w:tcPr>
            <w:tcW w:w="1911" w:type="dxa"/>
            <w:vAlign w:val="center"/>
          </w:tcPr>
          <w:p>
            <w:pPr>
              <w:widowControl/>
              <w:jc w:val="right"/>
              <w:textAlignment w:val="center"/>
              <w:rPr>
                <w:kern w:val="0"/>
                <w:szCs w:val="21"/>
                <w:lang w:bidi="ar"/>
              </w:rPr>
            </w:pPr>
            <w:r>
              <w:rPr>
                <w:rFonts w:hint="eastAsia"/>
                <w:kern w:val="0"/>
                <w:szCs w:val="21"/>
                <w:lang w:bidi="ar"/>
              </w:rPr>
              <w:t>2,160.05</w:t>
            </w:r>
          </w:p>
        </w:tc>
        <w:tc>
          <w:tcPr>
            <w:tcW w:w="1704" w:type="dxa"/>
            <w:vAlign w:val="center"/>
          </w:tcPr>
          <w:p>
            <w:pPr>
              <w:widowControl/>
              <w:jc w:val="right"/>
              <w:textAlignment w:val="center"/>
              <w:rPr>
                <w:kern w:val="0"/>
                <w:szCs w:val="21"/>
                <w:lang w:bidi="ar"/>
              </w:rPr>
            </w:pPr>
            <w:r>
              <w:rPr>
                <w:rFonts w:hint="eastAsia"/>
                <w:kern w:val="0"/>
                <w:szCs w:val="21"/>
                <w:lang w:bidi="ar"/>
              </w:rPr>
              <w:t>8,065.65</w:t>
            </w:r>
          </w:p>
        </w:tc>
        <w:tc>
          <w:tcPr>
            <w:tcW w:w="1307" w:type="dxa"/>
            <w:vAlign w:val="center"/>
          </w:tcPr>
          <w:p>
            <w:pPr>
              <w:widowControl/>
              <w:jc w:val="right"/>
              <w:textAlignment w:val="bottom"/>
              <w:rPr>
                <w:b/>
                <w:bCs/>
                <w:kern w:val="0"/>
                <w:szCs w:val="21"/>
                <w:lang w:bidi="ar"/>
              </w:rPr>
            </w:pPr>
            <w:r>
              <w:rPr>
                <w:rFonts w:hint="eastAsia" w:ascii="Arial" w:hAnsi="Arial" w:cs="Arial"/>
                <w:color w:val="000000"/>
                <w:kern w:val="0"/>
                <w:sz w:val="20"/>
                <w:szCs w:val="20"/>
                <w:lang w:bidi="ar"/>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pPr>
              <w:widowControl/>
              <w:jc w:val="center"/>
              <w:textAlignment w:val="center"/>
              <w:rPr>
                <w:b/>
                <w:bCs/>
                <w:kern w:val="0"/>
                <w:szCs w:val="21"/>
                <w:lang w:bidi="ar"/>
              </w:rPr>
            </w:pPr>
            <w:r>
              <w:rPr>
                <w:b/>
                <w:bCs/>
                <w:kern w:val="0"/>
                <w:szCs w:val="21"/>
                <w:lang w:bidi="ar"/>
              </w:rPr>
              <w:t>合计</w:t>
            </w:r>
          </w:p>
        </w:tc>
        <w:tc>
          <w:tcPr>
            <w:tcW w:w="1733" w:type="dxa"/>
            <w:vAlign w:val="center"/>
          </w:tcPr>
          <w:p>
            <w:pPr>
              <w:widowControl/>
              <w:jc w:val="right"/>
              <w:textAlignment w:val="center"/>
              <w:rPr>
                <w:b/>
                <w:bCs/>
                <w:kern w:val="0"/>
                <w:szCs w:val="21"/>
                <w:lang w:bidi="ar"/>
              </w:rPr>
            </w:pPr>
            <w:r>
              <w:rPr>
                <w:rFonts w:hint="eastAsia"/>
                <w:b/>
                <w:bCs/>
                <w:kern w:val="0"/>
                <w:szCs w:val="21"/>
                <w:lang w:bidi="ar"/>
              </w:rPr>
              <w:t>675,879.70</w:t>
            </w:r>
          </w:p>
        </w:tc>
        <w:tc>
          <w:tcPr>
            <w:tcW w:w="1911" w:type="dxa"/>
            <w:vAlign w:val="center"/>
          </w:tcPr>
          <w:p>
            <w:pPr>
              <w:widowControl/>
              <w:jc w:val="right"/>
              <w:textAlignment w:val="center"/>
              <w:rPr>
                <w:b/>
                <w:bCs/>
                <w:kern w:val="0"/>
                <w:szCs w:val="21"/>
                <w:lang w:bidi="ar"/>
              </w:rPr>
            </w:pPr>
            <w:r>
              <w:rPr>
                <w:rFonts w:hint="eastAsia"/>
                <w:b/>
                <w:bCs/>
                <w:kern w:val="0"/>
                <w:szCs w:val="21"/>
                <w:lang w:bidi="ar"/>
              </w:rPr>
              <w:t>637,610.64</w:t>
            </w:r>
          </w:p>
        </w:tc>
        <w:tc>
          <w:tcPr>
            <w:tcW w:w="1704" w:type="dxa"/>
            <w:vAlign w:val="center"/>
          </w:tcPr>
          <w:p>
            <w:pPr>
              <w:widowControl/>
              <w:jc w:val="right"/>
              <w:textAlignment w:val="center"/>
              <w:rPr>
                <w:b/>
                <w:bCs/>
                <w:kern w:val="0"/>
                <w:szCs w:val="21"/>
                <w:lang w:bidi="ar"/>
              </w:rPr>
            </w:pPr>
            <w:r>
              <w:rPr>
                <w:rFonts w:hint="eastAsia"/>
                <w:b/>
                <w:bCs/>
                <w:kern w:val="0"/>
                <w:szCs w:val="21"/>
                <w:lang w:bidi="ar"/>
              </w:rPr>
              <w:t>38,269.06</w:t>
            </w:r>
          </w:p>
        </w:tc>
        <w:tc>
          <w:tcPr>
            <w:tcW w:w="1307" w:type="dxa"/>
            <w:vAlign w:val="center"/>
          </w:tcPr>
          <w:p>
            <w:pPr>
              <w:widowControl/>
              <w:jc w:val="right"/>
              <w:textAlignment w:val="bottom"/>
              <w:rPr>
                <w:rFonts w:eastAsia="仿宋_GB2312"/>
                <w:b/>
                <w:bCs/>
                <w:szCs w:val="21"/>
              </w:rPr>
            </w:pPr>
            <w:r>
              <w:rPr>
                <w:b/>
                <w:bCs/>
                <w:kern w:val="0"/>
                <w:szCs w:val="21"/>
                <w:lang w:bidi="ar"/>
              </w:rPr>
              <w:t>100.00</w:t>
            </w:r>
          </w:p>
        </w:tc>
      </w:tr>
    </w:tbl>
    <w:p>
      <w:pPr>
        <w:spacing w:line="560" w:lineRule="exact"/>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信息中心固定资产主要为通用设备。</w:t>
      </w:r>
    </w:p>
    <w:p>
      <w:pPr>
        <w:spacing w:line="560" w:lineRule="exact"/>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2、资产管理体制机制方面</w:t>
      </w:r>
    </w:p>
    <w:p>
      <w:pPr>
        <w:spacing w:line="560" w:lineRule="exact"/>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为加强信息中心的固定资产管理，提高其使用效率，保证国有资产的安全、完整，信息中心特制定《湖南省经信委信息中心财务管理制度》，建立了固定资产配置、使用、处置等方面的制度，加强了固定资产的日常管理工作。</w:t>
      </w:r>
    </w:p>
    <w:p>
      <w:pPr>
        <w:numPr>
          <w:ilvl w:val="0"/>
          <w:numId w:val="1"/>
        </w:num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业务开展情况</w:t>
      </w:r>
    </w:p>
    <w:p>
      <w:pPr>
        <w:numPr>
          <w:ilvl w:val="0"/>
          <w:numId w:val="2"/>
        </w:numPr>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运行成本方面</w:t>
      </w:r>
    </w:p>
    <w:p>
      <w:pPr>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 xml:space="preserve">    为严格控制运行成本，信息中心建立了《财务管理制度》、《内部管理制度》等相关内控制度，明确了财务管理、核算、专项资金管理、费用报销等方面的制度，严格贯彻落实中央“八项规定”和厉行勤俭节约，反对铺张浪费要求。</w:t>
      </w:r>
    </w:p>
    <w:p>
      <w:pPr>
        <w:numPr>
          <w:ilvl w:val="0"/>
          <w:numId w:val="2"/>
        </w:numPr>
        <w:rPr>
          <w:rFonts w:asciiTheme="majorEastAsia" w:hAnsiTheme="majorEastAsia" w:eastAsiaTheme="majorEastAsia" w:cstheme="majorEastAsia"/>
          <w:sz w:val="28"/>
          <w:szCs w:val="36"/>
        </w:rPr>
      </w:pPr>
      <w:r>
        <w:rPr>
          <w:rFonts w:asciiTheme="majorEastAsia" w:hAnsiTheme="majorEastAsia" w:eastAsiaTheme="majorEastAsia" w:cstheme="majorEastAsia"/>
          <w:sz w:val="28"/>
          <w:szCs w:val="36"/>
        </w:rPr>
        <w:t>重点工作完成情况</w:t>
      </w:r>
    </w:p>
    <w:p>
      <w:pPr>
        <w:ind w:left="56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（1）日常维护工作平稳有序</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机关局域网、电话网、OA协同办公系统、工信部公文传输专线、工信部视频会议专线等保障工作平稳有序，协助厅机关完成网络安全等保三级备案、测评、整改工作，工业数据云平台系统、项目管理系统等多项系统获得信息系统安全等级保护备案证明。</w:t>
      </w:r>
    </w:p>
    <w:p>
      <w:pPr>
        <w:ind w:left="56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（2）信息宣传管理亮点突出</w:t>
      </w:r>
    </w:p>
    <w:p>
      <w:pPr>
        <w:numPr>
          <w:ilvl w:val="255"/>
          <w:numId w:val="0"/>
        </w:num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①2020年，厅门户网站进行了1次栏目页面改版和1次整体改版，对网站改版进行了问卷调查，从结果看，认为新版网站页面设计、栏目设置、色彩比原网站更好的比例均为100%；</w:t>
      </w:r>
    </w:p>
    <w:p>
      <w:pPr>
        <w:numPr>
          <w:ilvl w:val="255"/>
          <w:numId w:val="0"/>
        </w:num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②2020年，厅门户网站共发布信息6939条，微信公众号“湖南工信”共发布信息175</w:t>
      </w:r>
      <w:r>
        <w:rPr>
          <w:rFonts w:hint="eastAsia" w:asciiTheme="majorEastAsia" w:hAnsiTheme="majorEastAsia" w:eastAsiaTheme="majorEastAsia" w:cstheme="majorEastAsia"/>
          <w:sz w:val="28"/>
          <w:szCs w:val="36"/>
          <w:lang w:val="en-US" w:eastAsia="zh-CN"/>
        </w:rPr>
        <w:t>9</w:t>
      </w:r>
      <w:r>
        <w:rPr>
          <w:rFonts w:hint="eastAsia" w:asciiTheme="majorEastAsia" w:hAnsiTheme="majorEastAsia" w:eastAsiaTheme="majorEastAsia" w:cstheme="majorEastAsia"/>
          <w:sz w:val="28"/>
          <w:szCs w:val="36"/>
        </w:rPr>
        <w:t>条；</w:t>
      </w:r>
    </w:p>
    <w:p>
      <w:pPr>
        <w:numPr>
          <w:ilvl w:val="255"/>
          <w:numId w:val="0"/>
        </w:numPr>
        <w:ind w:firstLine="560" w:firstLineChars="200"/>
        <w:rPr>
          <w:rFonts w:asciiTheme="majorEastAsia" w:hAnsiTheme="majorEastAsia" w:eastAsiaTheme="majorEastAsia" w:cstheme="majorEastAsia"/>
          <w:sz w:val="28"/>
          <w:szCs w:val="36"/>
        </w:rPr>
      </w:pPr>
      <w:r>
        <w:rPr>
          <w:rFonts w:asciiTheme="majorEastAsia" w:hAnsiTheme="majorEastAsia" w:eastAsiaTheme="majorEastAsia" w:cstheme="majorEastAsia"/>
          <w:sz w:val="28"/>
          <w:szCs w:val="36"/>
        </w:rPr>
        <w:t>③</w:t>
      </w:r>
      <w:r>
        <w:rPr>
          <w:rFonts w:hint="eastAsia" w:asciiTheme="majorEastAsia" w:hAnsiTheme="majorEastAsia" w:eastAsiaTheme="majorEastAsia" w:cstheme="majorEastAsia"/>
          <w:sz w:val="28"/>
          <w:szCs w:val="36"/>
        </w:rPr>
        <w:t>门户网站每日访问量、发稿量、最受欢迎栏目、最受欢迎文章等指标在省直部门中多次名列第一。</w:t>
      </w:r>
    </w:p>
    <w:p>
      <w:pPr>
        <w:numPr>
          <w:ilvl w:val="255"/>
          <w:numId w:val="0"/>
        </w:num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（3）党建工作取得新成效</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2020年开展主题党日活动13次，组织党员集中学习14次，党课教育6次，党员大会11次，观看警示教育、青年活动视频2次。</w:t>
      </w:r>
    </w:p>
    <w:p>
      <w:pPr>
        <w:numPr>
          <w:ilvl w:val="255"/>
          <w:numId w:val="0"/>
        </w:num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（4）持续推进国产软硬件产品适配升级</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在30台长城KF510上安装了景嘉微国产显卡，所有终端用户同时安装了金山WPS和永中OFFICE办公软件，麒麟操作系统版本升级到V10版。</w:t>
      </w:r>
    </w:p>
    <w:p>
      <w:pPr>
        <w:numPr>
          <w:ilvl w:val="0"/>
          <w:numId w:val="3"/>
        </w:num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工业数据云项目实施顺利</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项目于2020年6月正式开工建设，目前规上企业已基本入库，大数据平台轮廓初现。</w:t>
      </w:r>
    </w:p>
    <w:p>
      <w:pPr>
        <w:numPr>
          <w:ilvl w:val="0"/>
          <w:numId w:val="3"/>
        </w:num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厅门户网站创建抗疫专题专栏</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 xml:space="preserve">在厅门户网站创建“抗击疫情—湖南工信铁军在行动”专题专栏，发布要闻、复工复产、工信行动、政策措施等信息679条。 </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七、存在的问题及原因分析</w:t>
      </w:r>
    </w:p>
    <w:p>
      <w:pPr>
        <w:ind w:firstLine="560" w:firstLineChars="200"/>
        <w:rPr>
          <w:rFonts w:asciiTheme="minorEastAsia" w:hAnsiTheme="minorEastAsia" w:cstheme="minorEastAsia"/>
          <w:sz w:val="28"/>
          <w:szCs w:val="28"/>
        </w:rPr>
      </w:pPr>
      <w:r>
        <w:rPr>
          <w:rFonts w:hint="eastAsia" w:asciiTheme="majorEastAsia" w:hAnsiTheme="majorEastAsia" w:eastAsiaTheme="majorEastAsia" w:cstheme="majorEastAsia"/>
          <w:sz w:val="28"/>
          <w:szCs w:val="36"/>
        </w:rPr>
        <w:t>公用经费变动率有待降低。信息中心2019年公用经费408,298.68元，2020年</w:t>
      </w:r>
      <w:r>
        <w:rPr>
          <w:rFonts w:hint="eastAsia" w:asciiTheme="minorEastAsia" w:hAnsiTheme="minorEastAsia" w:cstheme="minorEastAsia"/>
          <w:sz w:val="28"/>
          <w:szCs w:val="28"/>
        </w:rPr>
        <w:t>公用经费566,607.02元，较上年增加158,308.34元</w:t>
      </w:r>
      <w:r>
        <w:rPr>
          <w:rFonts w:hint="eastAsia" w:asciiTheme="majorEastAsia" w:hAnsiTheme="majorEastAsia" w:eastAsiaTheme="majorEastAsia" w:cstheme="majorEastAsia"/>
          <w:sz w:val="28"/>
          <w:szCs w:val="36"/>
        </w:rPr>
        <w:t>。</w:t>
      </w:r>
      <w:r>
        <w:rPr>
          <w:rFonts w:hint="eastAsia" w:asciiTheme="minorEastAsia" w:hAnsiTheme="minorEastAsia" w:cstheme="minorEastAsia"/>
          <w:sz w:val="28"/>
          <w:szCs w:val="28"/>
        </w:rPr>
        <w:t>其中维修费比上年增加157,732.10万元，系湖南省工信厅门户网站开发及维护、计算机网络安全加固、信息管理系统等业务逐步转至信息中心，因此维修费用增加。</w:t>
      </w:r>
    </w:p>
    <w:p>
      <w:p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八、下一步改进措施</w:t>
      </w:r>
    </w:p>
    <w:p>
      <w:pPr>
        <w:ind w:firstLine="562"/>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坚持厉行节约，强化经费管理。加强经费的管理，规范经费的使用，严格审核经费的支出。加强单位内部控制制度，使资金支出规范性和科学性。坚持节余留用、超支不补、自求平衡的原则，建立管理责任制。</w:t>
      </w:r>
    </w:p>
    <w:p>
      <w:pPr>
        <w:numPr>
          <w:ilvl w:val="0"/>
          <w:numId w:val="4"/>
        </w:numPr>
        <w:ind w:firstLine="562"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绩效自评结果拟应用和公开情况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信息中心将本次绩效自评结果公布于OA协同办公系统。</w:t>
      </w:r>
    </w:p>
    <w:p>
      <w:pPr>
        <w:pStyle w:val="2"/>
        <w:ind w:left="420" w:leftChars="200"/>
        <w:rPr>
          <w:rFonts w:hint="eastAsia" w:asciiTheme="majorEastAsia" w:hAnsiTheme="majorEastAsia" w:eastAsiaTheme="majorEastAsia" w:cstheme="majorEastAsia"/>
          <w:sz w:val="28"/>
          <w:szCs w:val="36"/>
        </w:rPr>
      </w:pPr>
      <w:bookmarkStart w:id="0" w:name="_GoBack"/>
      <w:bookmarkEnd w:id="0"/>
    </w:p>
    <w:p>
      <w:pPr>
        <w:ind w:left="420" w:left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附件：</w:t>
      </w:r>
    </w:p>
    <w:p>
      <w:pPr>
        <w:ind w:left="420" w:left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1、部门整体支出绩效评价基础数据表</w:t>
      </w:r>
    </w:p>
    <w:p>
      <w:pPr>
        <w:ind w:left="420" w:left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2、部门整体支出绩效自评表</w:t>
      </w:r>
    </w:p>
    <w:p>
      <w:pPr>
        <w:pStyle w:val="2"/>
        <w:rPr>
          <w:rFonts w:asciiTheme="majorEastAsia" w:hAnsiTheme="majorEastAsia" w:eastAsiaTheme="majorEastAsia" w:cstheme="majorEastAsia"/>
          <w:sz w:val="28"/>
          <w:szCs w:val="36"/>
        </w:rPr>
      </w:pPr>
    </w:p>
    <w:p/>
    <w:p>
      <w:pPr>
        <w:autoSpaceDE w:val="0"/>
        <w:autoSpaceDN w:val="0"/>
        <w:adjustRightInd w:val="0"/>
        <w:spacing w:line="800" w:lineRule="exact"/>
        <w:jc w:val="left"/>
        <w:rPr>
          <w:rFonts w:ascii="宋体" w:hAnsi="宋体"/>
          <w:b/>
          <w:kern w:val="0"/>
          <w:sz w:val="28"/>
        </w:rPr>
      </w:pPr>
      <w:r>
        <w:rPr>
          <w:rFonts w:hint="eastAsia" w:ascii="宋体" w:hAnsi="宋体"/>
          <w:b/>
          <w:kern w:val="0"/>
          <w:sz w:val="28"/>
          <w:szCs w:val="28"/>
        </w:rPr>
        <w:t>湖南中皓会计师事务所有限责任公司</w:t>
      </w:r>
      <w:r>
        <w:rPr>
          <w:rFonts w:ascii="宋体" w:hAnsi="宋体"/>
          <w:b/>
          <w:kern w:val="0"/>
          <w:sz w:val="28"/>
        </w:rPr>
        <w:t xml:space="preserve">      中国注册会计师：</w:t>
      </w:r>
    </w:p>
    <w:p>
      <w:pPr>
        <w:autoSpaceDE w:val="0"/>
        <w:autoSpaceDN w:val="0"/>
        <w:adjustRightInd w:val="0"/>
        <w:spacing w:line="800" w:lineRule="exact"/>
        <w:ind w:left="1405" w:hanging="1405" w:hangingChars="500"/>
        <w:jc w:val="left"/>
        <w:rPr>
          <w:rFonts w:ascii="宋体" w:hAnsi="宋体"/>
          <w:b/>
          <w:kern w:val="0"/>
          <w:sz w:val="28"/>
        </w:rPr>
      </w:pPr>
      <w:r>
        <w:rPr>
          <w:rFonts w:ascii="宋体" w:hAnsi="宋体"/>
          <w:b/>
          <w:kern w:val="0"/>
          <w:sz w:val="28"/>
        </w:rPr>
        <w:t xml:space="preserve">                                      中国注册会计师： </w:t>
      </w:r>
    </w:p>
    <w:p>
      <w:pPr>
        <w:autoSpaceDE w:val="0"/>
        <w:autoSpaceDN w:val="0"/>
        <w:adjustRightInd w:val="0"/>
        <w:spacing w:line="800" w:lineRule="exact"/>
        <w:ind w:left="1403" w:leftChars="668" w:firstLine="138" w:firstLineChars="49"/>
        <w:jc w:val="left"/>
        <w:rPr>
          <w:rFonts w:ascii="宋体" w:hAnsi="宋体"/>
          <w:b/>
          <w:kern w:val="0"/>
          <w:sz w:val="28"/>
        </w:rPr>
      </w:pPr>
      <w:r>
        <w:rPr>
          <w:rFonts w:hint="eastAsia" w:ascii="宋体" w:hAnsi="宋体"/>
          <w:b/>
          <w:sz w:val="28"/>
          <w:szCs w:val="28"/>
        </w:rPr>
        <w:t>中国</w:t>
      </w:r>
      <w:r>
        <w:rPr>
          <w:rFonts w:hint="eastAsia" w:ascii="宋体" w:hAnsi="宋体"/>
          <w:b/>
          <w:position w:val="6"/>
          <w:sz w:val="11"/>
          <w:szCs w:val="11"/>
        </w:rPr>
        <w:t>●</w:t>
      </w:r>
      <w:r>
        <w:rPr>
          <w:rFonts w:hint="eastAsia" w:ascii="宋体" w:hAnsi="宋体"/>
          <w:b/>
          <w:sz w:val="28"/>
          <w:szCs w:val="28"/>
        </w:rPr>
        <w:t>长沙</w:t>
      </w:r>
      <w:r>
        <w:rPr>
          <w:rFonts w:ascii="宋体" w:hAnsi="宋体"/>
          <w:b/>
          <w:kern w:val="0"/>
          <w:sz w:val="28"/>
        </w:rPr>
        <w:t xml:space="preserve">                 </w:t>
      </w:r>
      <w:r>
        <w:rPr>
          <w:rFonts w:hint="eastAsia" w:ascii="宋体" w:hAnsi="宋体"/>
          <w:b/>
          <w:kern w:val="0"/>
          <w:sz w:val="28"/>
        </w:rPr>
        <w:t>二○二一年五月六日</w:t>
      </w:r>
    </w:p>
    <w:p>
      <w:pPr>
        <w:ind w:left="420" w:leftChars="200"/>
        <w:rPr>
          <w:rFonts w:asciiTheme="majorEastAsia" w:hAnsiTheme="majorEastAsia" w:eastAsiaTheme="majorEastAsia" w:cstheme="majorEastAsia"/>
          <w:sz w:val="28"/>
          <w:szCs w:val="36"/>
        </w:rPr>
      </w:pPr>
    </w:p>
    <w:p>
      <w:r>
        <w:t xml:space="preserve">                                            </w:t>
      </w:r>
      <w:r>
        <w:rPr>
          <w:rFonts w:eastAsia="仿宋_GB2312"/>
          <w:sz w:val="28"/>
        </w:rPr>
        <w:t xml:space="preserve"> </w:t>
      </w:r>
    </w:p>
    <w:sectPr>
      <w:headerReference r:id="rId3" w:type="first"/>
      <w:footerReference r:id="rId5" w:type="first"/>
      <w:footerReference r:id="rId4" w:type="default"/>
      <w:type w:val="continuous"/>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 </w:t>
    </w:r>
  </w:p>
  <w:p>
    <w:pPr>
      <w:pStyle w:val="10"/>
      <w:jc w:val="center"/>
    </w:pPr>
    <w:r>
      <w:rPr>
        <w:rFonts w:hint="eastAsia"/>
      </w:rPr>
      <w:t>地址：</w:t>
    </w:r>
    <w:r>
      <w:rPr>
        <w:rFonts w:hint="eastAsia"/>
        <w:szCs w:val="21"/>
      </w:rPr>
      <w:t>岳麓区观沙岭街道滨江路5</w:t>
    </w:r>
    <w:r>
      <w:rPr>
        <w:szCs w:val="21"/>
      </w:rPr>
      <w:t>3号楷林国际大厦</w:t>
    </w:r>
    <w:r>
      <w:rPr>
        <w:rFonts w:hint="eastAsia"/>
        <w:szCs w:val="21"/>
      </w:rPr>
      <w:t>C栋901号</w:t>
    </w:r>
    <w:r>
      <w:rPr>
        <w:rFonts w:hint="eastAsia"/>
      </w:rPr>
      <w:t xml:space="preserve">  </w:t>
    </w:r>
    <w:r>
      <w:t xml:space="preserve">            </w:t>
    </w:r>
    <w:r>
      <w:rPr>
        <w:rFonts w:hint="eastAsia"/>
      </w:rPr>
      <w:t>电话：</w:t>
    </w:r>
    <w:r>
      <w:t>0731-</w:t>
    </w:r>
    <w:r>
      <w:rPr>
        <w:rFonts w:hint="eastAsia"/>
      </w:rPr>
      <w:t xml:space="preserve"> 84318838 </w:t>
    </w:r>
  </w:p>
  <w:p>
    <w:pPr>
      <w:pStyle w:val="10"/>
      <w:jc w:val="center"/>
    </w:pPr>
    <w:r>
      <w:t xml:space="preserve">- </w:t>
    </w:r>
    <w:r>
      <w:fldChar w:fldCharType="begin"/>
    </w:r>
    <w:r>
      <w:instrText xml:space="preserve"> PAGE </w:instrText>
    </w:r>
    <w:r>
      <w:fldChar w:fldCharType="separate"/>
    </w:r>
    <w:r>
      <w:t>8</w:t>
    </w:r>
    <w: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t xml:space="preserve">- </w:t>
    </w:r>
    <w:r>
      <w:fldChar w:fldCharType="begin"/>
    </w:r>
    <w:r>
      <w:instrText xml:space="preserve"> PAGE </w:instrText>
    </w:r>
    <w:r>
      <w:fldChar w:fldCharType="separate"/>
    </w:r>
    <w:r>
      <w:t>1</w:t>
    </w:r>
    <w:r>
      <w:fldChar w:fldCharType="end"/>
    </w:r>
    <w:r>
      <w:rPr>
        <w:rFonts w:hint="eastAsia"/>
      </w:rPr>
      <w:t xml:space="preserve"> -</w: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8522" w:type="dxa"/>
      <w:tblInd w:w="0" w:type="dxa"/>
      <w:tblLayout w:type="fixed"/>
      <w:tblCellMar>
        <w:top w:w="0" w:type="dxa"/>
        <w:left w:w="108" w:type="dxa"/>
        <w:bottom w:w="0" w:type="dxa"/>
        <w:right w:w="108" w:type="dxa"/>
      </w:tblCellMar>
    </w:tblPr>
    <w:tblGrid>
      <w:gridCol w:w="1357"/>
      <w:gridCol w:w="7165"/>
    </w:tblGrid>
    <w:tr>
      <w:tblPrEx>
        <w:tblCellMar>
          <w:top w:w="0" w:type="dxa"/>
          <w:left w:w="108" w:type="dxa"/>
          <w:bottom w:w="0" w:type="dxa"/>
          <w:right w:w="108" w:type="dxa"/>
        </w:tblCellMar>
      </w:tblPrEx>
      <w:trPr>
        <w:trHeight w:val="570" w:hRule="atLeast"/>
      </w:trPr>
      <w:tc>
        <w:tcPr>
          <w:tcW w:w="1357" w:type="dxa"/>
          <w:vMerge w:val="restart"/>
          <w:vAlign w:val="center"/>
        </w:tcPr>
        <w:p>
          <w:pPr>
            <w:tabs>
              <w:tab w:val="left" w:pos="1260"/>
              <w:tab w:val="left" w:pos="6090"/>
            </w:tabs>
            <w:jc w:val="center"/>
            <w:rPr>
              <w:rFonts w:hAnsi="宋体"/>
              <w:b/>
              <w:spacing w:val="24"/>
              <w:sz w:val="48"/>
              <w:szCs w:val="52"/>
            </w:rPr>
          </w:pPr>
          <w:r>
            <w:rPr>
              <w:rFonts w:hint="eastAsia" w:hAnsi="宋体"/>
              <w:b/>
              <w:spacing w:val="24"/>
              <w:sz w:val="48"/>
              <w:szCs w:val="52"/>
            </w:rPr>
            <w:drawing>
              <wp:inline distT="0" distB="0" distL="114300" distR="114300">
                <wp:extent cx="621665" cy="621665"/>
                <wp:effectExtent l="0" t="0" r="3175" b="3175"/>
                <wp:docPr id="1" name="图片 1" descr="d110e97f39abceb5a5bf72c6e793e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10e97f39abceb5a5bf72c6e793ea44"/>
                        <pic:cNvPicPr>
                          <a:picLocks noChangeAspect="1"/>
                        </pic:cNvPicPr>
                      </pic:nvPicPr>
                      <pic:blipFill>
                        <a:blip r:embed="rId1"/>
                        <a:stretch>
                          <a:fillRect/>
                        </a:stretch>
                      </pic:blipFill>
                      <pic:spPr>
                        <a:xfrm>
                          <a:off x="0" y="0"/>
                          <a:ext cx="621665" cy="621665"/>
                        </a:xfrm>
                        <a:prstGeom prst="rect">
                          <a:avLst/>
                        </a:prstGeom>
                      </pic:spPr>
                    </pic:pic>
                  </a:graphicData>
                </a:graphic>
              </wp:inline>
            </w:drawing>
          </w:r>
        </w:p>
      </w:tc>
      <w:tc>
        <w:tcPr>
          <w:tcW w:w="7165" w:type="dxa"/>
          <w:vAlign w:val="bottom"/>
        </w:tcPr>
        <w:p>
          <w:pPr>
            <w:tabs>
              <w:tab w:val="left" w:pos="1260"/>
              <w:tab w:val="left" w:pos="6090"/>
            </w:tabs>
            <w:ind w:left="-1"/>
            <w:jc w:val="distribute"/>
            <w:rPr>
              <w:rFonts w:hAnsi="宋体"/>
              <w:b/>
              <w:spacing w:val="24"/>
              <w:sz w:val="36"/>
              <w:szCs w:val="36"/>
            </w:rPr>
          </w:pPr>
          <w:r>
            <w:rPr>
              <w:rFonts w:hAnsi="宋体"/>
              <w:b/>
              <w:spacing w:val="24"/>
              <w:sz w:val="36"/>
              <w:szCs w:val="36"/>
            </w:rPr>
            <w:t>湖南</w:t>
          </w:r>
          <w:r>
            <w:rPr>
              <w:rFonts w:hint="eastAsia" w:hAnsi="宋体"/>
              <w:b/>
              <w:spacing w:val="24"/>
              <w:sz w:val="36"/>
              <w:szCs w:val="36"/>
            </w:rPr>
            <w:t>中皓</w:t>
          </w:r>
          <w:r>
            <w:rPr>
              <w:rFonts w:hAnsi="宋体"/>
              <w:b/>
              <w:spacing w:val="24"/>
              <w:sz w:val="36"/>
              <w:szCs w:val="36"/>
            </w:rPr>
            <w:t>会计师事务所有限</w:t>
          </w:r>
          <w:r>
            <w:rPr>
              <w:rFonts w:hint="eastAsia" w:hAnsi="宋体"/>
              <w:b/>
              <w:spacing w:val="24"/>
              <w:sz w:val="36"/>
              <w:szCs w:val="36"/>
            </w:rPr>
            <w:t>责任</w:t>
          </w:r>
          <w:r>
            <w:rPr>
              <w:rFonts w:hAnsi="宋体"/>
              <w:b/>
              <w:spacing w:val="24"/>
              <w:sz w:val="36"/>
              <w:szCs w:val="36"/>
            </w:rPr>
            <w:t>公司</w:t>
          </w:r>
        </w:p>
      </w:tc>
    </w:tr>
    <w:tr>
      <w:tblPrEx>
        <w:tblCellMar>
          <w:top w:w="0" w:type="dxa"/>
          <w:left w:w="108" w:type="dxa"/>
          <w:bottom w:w="0" w:type="dxa"/>
          <w:right w:w="108" w:type="dxa"/>
        </w:tblCellMar>
      </w:tblPrEx>
      <w:trPr>
        <w:trHeight w:val="393" w:hRule="atLeast"/>
      </w:trPr>
      <w:tc>
        <w:tcPr>
          <w:tcW w:w="1357" w:type="dxa"/>
          <w:vMerge w:val="continue"/>
        </w:tcPr>
        <w:p>
          <w:pPr>
            <w:tabs>
              <w:tab w:val="left" w:pos="1260"/>
              <w:tab w:val="left" w:pos="6090"/>
            </w:tabs>
            <w:spacing w:line="740" w:lineRule="exact"/>
            <w:ind w:left="-1"/>
            <w:jc w:val="distribute"/>
            <w:rPr>
              <w:rFonts w:hAnsi="宋体"/>
              <w:b/>
              <w:spacing w:val="24"/>
              <w:sz w:val="48"/>
              <w:szCs w:val="52"/>
            </w:rPr>
          </w:pPr>
        </w:p>
      </w:tc>
      <w:tc>
        <w:tcPr>
          <w:tcW w:w="7165" w:type="dxa"/>
          <w:vAlign w:val="center"/>
        </w:tcPr>
        <w:p>
          <w:pPr>
            <w:jc w:val="distribute"/>
            <w:rPr>
              <w:rFonts w:hAnsi="宋体"/>
              <w:b/>
              <w:spacing w:val="24"/>
              <w:sz w:val="48"/>
              <w:szCs w:val="52"/>
            </w:rPr>
          </w:pPr>
          <w:r>
            <w:rPr>
              <w:w w:val="79"/>
              <w:kern w:val="0"/>
              <w:sz w:val="28"/>
              <w:szCs w:val="28"/>
            </w:rPr>
            <w:t>HUNAN</w:t>
          </w:r>
          <w:r>
            <w:rPr>
              <w:rFonts w:hint="eastAsia"/>
              <w:w w:val="79"/>
              <w:kern w:val="0"/>
              <w:sz w:val="28"/>
              <w:szCs w:val="28"/>
            </w:rPr>
            <w:t xml:space="preserve"> ZHONGHAO CERTIFIED </w:t>
          </w:r>
          <w:r>
            <w:rPr>
              <w:w w:val="79"/>
              <w:kern w:val="0"/>
              <w:sz w:val="28"/>
              <w:szCs w:val="28"/>
            </w:rPr>
            <w:t>PUBLICACCOUNTANTSCO. LTD</w:t>
          </w:r>
        </w:p>
      </w:tc>
    </w:tr>
  </w:tbl>
  <w:p>
    <w:pPr>
      <w:pStyle w:val="11"/>
      <w:wordWrap w:val="0"/>
      <w:jc w:val="right"/>
    </w:pPr>
    <w:r>
      <w:rPr>
        <w:rFonts w:ascii="宋体" w:hAnsi="宋体"/>
        <w:szCs w:val="21"/>
      </w:rPr>
      <w:t>地址：长沙市</w:t>
    </w:r>
    <w:r>
      <w:rPr>
        <w:rFonts w:hint="eastAsia" w:ascii="宋体" w:hAnsi="宋体"/>
        <w:szCs w:val="21"/>
      </w:rPr>
      <w:t>岳麓区观沙岭街道滨江路5</w:t>
    </w:r>
    <w:r>
      <w:rPr>
        <w:rFonts w:ascii="宋体" w:hAnsi="宋体"/>
        <w:szCs w:val="21"/>
      </w:rPr>
      <w:t>3号楷林国际大厦</w:t>
    </w:r>
    <w:r>
      <w:rPr>
        <w:rFonts w:hint="eastAsia" w:ascii="宋体" w:hAnsi="宋体"/>
        <w:szCs w:val="21"/>
      </w:rPr>
      <w:t>C栋9</w:t>
    </w:r>
    <w:r>
      <w:rPr>
        <w:rFonts w:ascii="宋体" w:hAnsi="宋体"/>
        <w:szCs w:val="21"/>
      </w:rPr>
      <w:t>01号</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电话：0731-</w:t>
    </w:r>
    <w:r>
      <w:rPr>
        <w:rFonts w:hint="eastAsia" w:ascii="宋体" w:hAnsi="宋体"/>
        <w:szCs w:val="21"/>
      </w:rPr>
      <w:t>84318838</w:t>
    </w:r>
  </w:p>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D9194"/>
    <w:multiLevelType w:val="singleLevel"/>
    <w:tmpl w:val="96DD9194"/>
    <w:lvl w:ilvl="0" w:tentative="0">
      <w:start w:val="9"/>
      <w:numFmt w:val="chineseCounting"/>
      <w:suff w:val="nothing"/>
      <w:lvlText w:val="%1、"/>
      <w:lvlJc w:val="left"/>
      <w:rPr>
        <w:rFonts w:hint="eastAsia"/>
      </w:rPr>
    </w:lvl>
  </w:abstractNum>
  <w:abstractNum w:abstractNumId="1">
    <w:nsid w:val="B60ECB2A"/>
    <w:multiLevelType w:val="singleLevel"/>
    <w:tmpl w:val="B60ECB2A"/>
    <w:lvl w:ilvl="0" w:tentative="0">
      <w:start w:val="5"/>
      <w:numFmt w:val="decimal"/>
      <w:suff w:val="nothing"/>
      <w:lvlText w:val="（%1）"/>
      <w:lvlJc w:val="left"/>
    </w:lvl>
  </w:abstractNum>
  <w:abstractNum w:abstractNumId="2">
    <w:nsid w:val="0FD1D722"/>
    <w:multiLevelType w:val="singleLevel"/>
    <w:tmpl w:val="0FD1D722"/>
    <w:lvl w:ilvl="0" w:tentative="0">
      <w:start w:val="2"/>
      <w:numFmt w:val="chineseCounting"/>
      <w:suff w:val="nothing"/>
      <w:lvlText w:val="（%1）"/>
      <w:lvlJc w:val="left"/>
      <w:rPr>
        <w:rFonts w:hint="eastAsia"/>
      </w:rPr>
    </w:lvl>
  </w:abstractNum>
  <w:abstractNum w:abstractNumId="3">
    <w:nsid w:val="382E1525"/>
    <w:multiLevelType w:val="singleLevel"/>
    <w:tmpl w:val="382E1525"/>
    <w:lvl w:ilvl="0" w:tentative="0">
      <w:start w:val="1"/>
      <w:numFmt w:val="decimal"/>
      <w:suff w:val="nothing"/>
      <w:lvlText w:val="%1、"/>
      <w:lvlJc w:val="left"/>
      <w:pPr>
        <w:ind w:left="560"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28"/>
    <w:rsid w:val="000045D9"/>
    <w:rsid w:val="0000784D"/>
    <w:rsid w:val="000109A5"/>
    <w:rsid w:val="00014E16"/>
    <w:rsid w:val="00016523"/>
    <w:rsid w:val="00016AF1"/>
    <w:rsid w:val="000179A2"/>
    <w:rsid w:val="00020AA6"/>
    <w:rsid w:val="00021A6B"/>
    <w:rsid w:val="00021B1E"/>
    <w:rsid w:val="00026D44"/>
    <w:rsid w:val="000345AF"/>
    <w:rsid w:val="00044FC5"/>
    <w:rsid w:val="00050F49"/>
    <w:rsid w:val="00052CC2"/>
    <w:rsid w:val="00057EB4"/>
    <w:rsid w:val="00057FAB"/>
    <w:rsid w:val="0006462F"/>
    <w:rsid w:val="00064E5C"/>
    <w:rsid w:val="0007135E"/>
    <w:rsid w:val="000722BD"/>
    <w:rsid w:val="0007292E"/>
    <w:rsid w:val="000738D1"/>
    <w:rsid w:val="00073BB7"/>
    <w:rsid w:val="00073BEA"/>
    <w:rsid w:val="00074263"/>
    <w:rsid w:val="000756C4"/>
    <w:rsid w:val="00075B03"/>
    <w:rsid w:val="00077C29"/>
    <w:rsid w:val="00080683"/>
    <w:rsid w:val="00080E0D"/>
    <w:rsid w:val="00090333"/>
    <w:rsid w:val="0009067A"/>
    <w:rsid w:val="00095AE8"/>
    <w:rsid w:val="000A0511"/>
    <w:rsid w:val="000A3683"/>
    <w:rsid w:val="000A563A"/>
    <w:rsid w:val="000A5871"/>
    <w:rsid w:val="000B0D54"/>
    <w:rsid w:val="000B20EC"/>
    <w:rsid w:val="000B383B"/>
    <w:rsid w:val="000B4138"/>
    <w:rsid w:val="000B4347"/>
    <w:rsid w:val="000B4B19"/>
    <w:rsid w:val="000B582D"/>
    <w:rsid w:val="000B64FE"/>
    <w:rsid w:val="000C01D0"/>
    <w:rsid w:val="000C252A"/>
    <w:rsid w:val="000C29E8"/>
    <w:rsid w:val="000C3789"/>
    <w:rsid w:val="000C3C19"/>
    <w:rsid w:val="000C4EB0"/>
    <w:rsid w:val="000C605F"/>
    <w:rsid w:val="000C73AE"/>
    <w:rsid w:val="000D11B4"/>
    <w:rsid w:val="000D2887"/>
    <w:rsid w:val="000D768A"/>
    <w:rsid w:val="000E28AD"/>
    <w:rsid w:val="000E5EEC"/>
    <w:rsid w:val="000E75BA"/>
    <w:rsid w:val="000F173E"/>
    <w:rsid w:val="000F5690"/>
    <w:rsid w:val="00100567"/>
    <w:rsid w:val="00101565"/>
    <w:rsid w:val="001015F5"/>
    <w:rsid w:val="00103BF3"/>
    <w:rsid w:val="00103EA1"/>
    <w:rsid w:val="00107496"/>
    <w:rsid w:val="0011069C"/>
    <w:rsid w:val="00110800"/>
    <w:rsid w:val="00112FDB"/>
    <w:rsid w:val="00113AD2"/>
    <w:rsid w:val="00113E8D"/>
    <w:rsid w:val="00114AC9"/>
    <w:rsid w:val="00116082"/>
    <w:rsid w:val="001250DF"/>
    <w:rsid w:val="0013329F"/>
    <w:rsid w:val="00134001"/>
    <w:rsid w:val="00140D3F"/>
    <w:rsid w:val="00142578"/>
    <w:rsid w:val="0014652A"/>
    <w:rsid w:val="001476FE"/>
    <w:rsid w:val="00155567"/>
    <w:rsid w:val="00155F10"/>
    <w:rsid w:val="00157B21"/>
    <w:rsid w:val="00160741"/>
    <w:rsid w:val="00160A0E"/>
    <w:rsid w:val="00164893"/>
    <w:rsid w:val="0016551C"/>
    <w:rsid w:val="00165C2D"/>
    <w:rsid w:val="001662E7"/>
    <w:rsid w:val="00166899"/>
    <w:rsid w:val="0017462D"/>
    <w:rsid w:val="00175C7F"/>
    <w:rsid w:val="00181C6F"/>
    <w:rsid w:val="00187F9F"/>
    <w:rsid w:val="0019535A"/>
    <w:rsid w:val="001A1770"/>
    <w:rsid w:val="001A32FF"/>
    <w:rsid w:val="001A37DC"/>
    <w:rsid w:val="001A3A38"/>
    <w:rsid w:val="001A4082"/>
    <w:rsid w:val="001A5D12"/>
    <w:rsid w:val="001B469A"/>
    <w:rsid w:val="001B6854"/>
    <w:rsid w:val="001C409B"/>
    <w:rsid w:val="001C534B"/>
    <w:rsid w:val="001C546B"/>
    <w:rsid w:val="001D0B3E"/>
    <w:rsid w:val="001D299F"/>
    <w:rsid w:val="001D5B1E"/>
    <w:rsid w:val="001D798F"/>
    <w:rsid w:val="001D7C14"/>
    <w:rsid w:val="001D7DF8"/>
    <w:rsid w:val="001E2BBF"/>
    <w:rsid w:val="001E3887"/>
    <w:rsid w:val="001E3919"/>
    <w:rsid w:val="001E61B7"/>
    <w:rsid w:val="001F25CE"/>
    <w:rsid w:val="001F3F30"/>
    <w:rsid w:val="0020313F"/>
    <w:rsid w:val="002052B3"/>
    <w:rsid w:val="002068EB"/>
    <w:rsid w:val="0021181F"/>
    <w:rsid w:val="00213223"/>
    <w:rsid w:val="00213FD8"/>
    <w:rsid w:val="002177B5"/>
    <w:rsid w:val="00220561"/>
    <w:rsid w:val="00220B71"/>
    <w:rsid w:val="00220D47"/>
    <w:rsid w:val="002255EE"/>
    <w:rsid w:val="002301C8"/>
    <w:rsid w:val="00234C02"/>
    <w:rsid w:val="00236A2C"/>
    <w:rsid w:val="00237609"/>
    <w:rsid w:val="00237F1D"/>
    <w:rsid w:val="00240B48"/>
    <w:rsid w:val="00241287"/>
    <w:rsid w:val="002418FB"/>
    <w:rsid w:val="00247F6D"/>
    <w:rsid w:val="002567C4"/>
    <w:rsid w:val="00257039"/>
    <w:rsid w:val="00260F64"/>
    <w:rsid w:val="00261F4E"/>
    <w:rsid w:val="00264725"/>
    <w:rsid w:val="00265460"/>
    <w:rsid w:val="0026649C"/>
    <w:rsid w:val="00274435"/>
    <w:rsid w:val="002745AE"/>
    <w:rsid w:val="00275F23"/>
    <w:rsid w:val="0028189B"/>
    <w:rsid w:val="00284BB5"/>
    <w:rsid w:val="00286344"/>
    <w:rsid w:val="00286D37"/>
    <w:rsid w:val="00294864"/>
    <w:rsid w:val="00294B59"/>
    <w:rsid w:val="002A2FFF"/>
    <w:rsid w:val="002A33E7"/>
    <w:rsid w:val="002A53A2"/>
    <w:rsid w:val="002A66E6"/>
    <w:rsid w:val="002A6847"/>
    <w:rsid w:val="002B2042"/>
    <w:rsid w:val="002B3056"/>
    <w:rsid w:val="002B358A"/>
    <w:rsid w:val="002C1C25"/>
    <w:rsid w:val="002C7C88"/>
    <w:rsid w:val="002D00FB"/>
    <w:rsid w:val="002D2D44"/>
    <w:rsid w:val="002D482E"/>
    <w:rsid w:val="002D6F1F"/>
    <w:rsid w:val="002D73DB"/>
    <w:rsid w:val="002D7FA5"/>
    <w:rsid w:val="002E02BB"/>
    <w:rsid w:val="002E1A64"/>
    <w:rsid w:val="002E50C9"/>
    <w:rsid w:val="002F0552"/>
    <w:rsid w:val="002F1E98"/>
    <w:rsid w:val="002F4C4F"/>
    <w:rsid w:val="002F525A"/>
    <w:rsid w:val="002F5B02"/>
    <w:rsid w:val="002F6CC5"/>
    <w:rsid w:val="00300CDD"/>
    <w:rsid w:val="00300FF0"/>
    <w:rsid w:val="0030463D"/>
    <w:rsid w:val="0030464C"/>
    <w:rsid w:val="0030737C"/>
    <w:rsid w:val="0030757E"/>
    <w:rsid w:val="00310DE2"/>
    <w:rsid w:val="00314628"/>
    <w:rsid w:val="00315AA1"/>
    <w:rsid w:val="00317413"/>
    <w:rsid w:val="003222E7"/>
    <w:rsid w:val="0032529C"/>
    <w:rsid w:val="00330160"/>
    <w:rsid w:val="00335B6B"/>
    <w:rsid w:val="00337018"/>
    <w:rsid w:val="0034097E"/>
    <w:rsid w:val="00340A8A"/>
    <w:rsid w:val="003443FC"/>
    <w:rsid w:val="00346987"/>
    <w:rsid w:val="003528DD"/>
    <w:rsid w:val="00353DD7"/>
    <w:rsid w:val="00356043"/>
    <w:rsid w:val="00360A16"/>
    <w:rsid w:val="00361BFF"/>
    <w:rsid w:val="00361D0C"/>
    <w:rsid w:val="00362BBB"/>
    <w:rsid w:val="00364F2B"/>
    <w:rsid w:val="00365AC1"/>
    <w:rsid w:val="00367274"/>
    <w:rsid w:val="00367B17"/>
    <w:rsid w:val="00367F7E"/>
    <w:rsid w:val="00371982"/>
    <w:rsid w:val="00372736"/>
    <w:rsid w:val="00373CA7"/>
    <w:rsid w:val="00375EEE"/>
    <w:rsid w:val="0038080F"/>
    <w:rsid w:val="00382114"/>
    <w:rsid w:val="003858B2"/>
    <w:rsid w:val="00386CE4"/>
    <w:rsid w:val="003872B4"/>
    <w:rsid w:val="00387433"/>
    <w:rsid w:val="00392000"/>
    <w:rsid w:val="00393A6D"/>
    <w:rsid w:val="00393F98"/>
    <w:rsid w:val="00397802"/>
    <w:rsid w:val="003B38F7"/>
    <w:rsid w:val="003B6723"/>
    <w:rsid w:val="003C22A9"/>
    <w:rsid w:val="003C39FC"/>
    <w:rsid w:val="003C72E0"/>
    <w:rsid w:val="003D3BAA"/>
    <w:rsid w:val="003D4030"/>
    <w:rsid w:val="003D75A3"/>
    <w:rsid w:val="003E323C"/>
    <w:rsid w:val="003E51F4"/>
    <w:rsid w:val="003E5AA3"/>
    <w:rsid w:val="003E7F11"/>
    <w:rsid w:val="003F3D11"/>
    <w:rsid w:val="003F6051"/>
    <w:rsid w:val="003F7201"/>
    <w:rsid w:val="003F7601"/>
    <w:rsid w:val="00402439"/>
    <w:rsid w:val="00402463"/>
    <w:rsid w:val="004065CA"/>
    <w:rsid w:val="00407F24"/>
    <w:rsid w:val="0041042B"/>
    <w:rsid w:val="00416735"/>
    <w:rsid w:val="00420F6D"/>
    <w:rsid w:val="00421393"/>
    <w:rsid w:val="004222E3"/>
    <w:rsid w:val="00423E0B"/>
    <w:rsid w:val="00426AA1"/>
    <w:rsid w:val="00427D21"/>
    <w:rsid w:val="00436230"/>
    <w:rsid w:val="00440935"/>
    <w:rsid w:val="00443955"/>
    <w:rsid w:val="00445530"/>
    <w:rsid w:val="0044600A"/>
    <w:rsid w:val="004465C8"/>
    <w:rsid w:val="00446F89"/>
    <w:rsid w:val="004503E6"/>
    <w:rsid w:val="00450794"/>
    <w:rsid w:val="0045155E"/>
    <w:rsid w:val="004517A6"/>
    <w:rsid w:val="004519ED"/>
    <w:rsid w:val="004531E4"/>
    <w:rsid w:val="00461A7B"/>
    <w:rsid w:val="00464012"/>
    <w:rsid w:val="00465DCB"/>
    <w:rsid w:val="004724F5"/>
    <w:rsid w:val="004753BA"/>
    <w:rsid w:val="00477407"/>
    <w:rsid w:val="00483ED2"/>
    <w:rsid w:val="00492039"/>
    <w:rsid w:val="00493326"/>
    <w:rsid w:val="00496A38"/>
    <w:rsid w:val="004A14C3"/>
    <w:rsid w:val="004A184B"/>
    <w:rsid w:val="004A2060"/>
    <w:rsid w:val="004A402E"/>
    <w:rsid w:val="004A4929"/>
    <w:rsid w:val="004B1834"/>
    <w:rsid w:val="004B46FD"/>
    <w:rsid w:val="004B608A"/>
    <w:rsid w:val="004C1AC4"/>
    <w:rsid w:val="004C2A6A"/>
    <w:rsid w:val="004C56C8"/>
    <w:rsid w:val="004C69EB"/>
    <w:rsid w:val="004D09EC"/>
    <w:rsid w:val="004D1112"/>
    <w:rsid w:val="004D1553"/>
    <w:rsid w:val="004D199D"/>
    <w:rsid w:val="004D613E"/>
    <w:rsid w:val="004D63ED"/>
    <w:rsid w:val="004D72EA"/>
    <w:rsid w:val="004E6B76"/>
    <w:rsid w:val="004E7C7E"/>
    <w:rsid w:val="004F1113"/>
    <w:rsid w:val="004F3B9D"/>
    <w:rsid w:val="004F432E"/>
    <w:rsid w:val="004F64B9"/>
    <w:rsid w:val="005005A6"/>
    <w:rsid w:val="005013BC"/>
    <w:rsid w:val="00501549"/>
    <w:rsid w:val="00502E87"/>
    <w:rsid w:val="005066C7"/>
    <w:rsid w:val="00512B75"/>
    <w:rsid w:val="00512FF2"/>
    <w:rsid w:val="00517D6F"/>
    <w:rsid w:val="00521039"/>
    <w:rsid w:val="00525E27"/>
    <w:rsid w:val="00530701"/>
    <w:rsid w:val="005312A3"/>
    <w:rsid w:val="00533289"/>
    <w:rsid w:val="00534D2B"/>
    <w:rsid w:val="005357A4"/>
    <w:rsid w:val="0053646A"/>
    <w:rsid w:val="005410EB"/>
    <w:rsid w:val="00541863"/>
    <w:rsid w:val="00545BCF"/>
    <w:rsid w:val="005515B8"/>
    <w:rsid w:val="00552D9A"/>
    <w:rsid w:val="00554E59"/>
    <w:rsid w:val="00556E7E"/>
    <w:rsid w:val="005571C4"/>
    <w:rsid w:val="005678C8"/>
    <w:rsid w:val="00573C8C"/>
    <w:rsid w:val="0057739F"/>
    <w:rsid w:val="00580084"/>
    <w:rsid w:val="005808F9"/>
    <w:rsid w:val="00581B64"/>
    <w:rsid w:val="00585039"/>
    <w:rsid w:val="00585433"/>
    <w:rsid w:val="005928CA"/>
    <w:rsid w:val="0059367F"/>
    <w:rsid w:val="00594B6D"/>
    <w:rsid w:val="00595BB9"/>
    <w:rsid w:val="005A0401"/>
    <w:rsid w:val="005A0B6A"/>
    <w:rsid w:val="005A0C3C"/>
    <w:rsid w:val="005A1F52"/>
    <w:rsid w:val="005A51AE"/>
    <w:rsid w:val="005B1D30"/>
    <w:rsid w:val="005B328F"/>
    <w:rsid w:val="005B4CE5"/>
    <w:rsid w:val="005C203D"/>
    <w:rsid w:val="005C2515"/>
    <w:rsid w:val="005C5ADD"/>
    <w:rsid w:val="005C6887"/>
    <w:rsid w:val="005C6965"/>
    <w:rsid w:val="005C7FD8"/>
    <w:rsid w:val="005D0F4C"/>
    <w:rsid w:val="005D1099"/>
    <w:rsid w:val="005D2A83"/>
    <w:rsid w:val="005D2B3D"/>
    <w:rsid w:val="005D4E2C"/>
    <w:rsid w:val="005D5D5A"/>
    <w:rsid w:val="005D66B4"/>
    <w:rsid w:val="005E0983"/>
    <w:rsid w:val="005E4016"/>
    <w:rsid w:val="005E79BC"/>
    <w:rsid w:val="005F0D05"/>
    <w:rsid w:val="005F2229"/>
    <w:rsid w:val="005F3BBA"/>
    <w:rsid w:val="005F4A3D"/>
    <w:rsid w:val="005F4D72"/>
    <w:rsid w:val="005F5E85"/>
    <w:rsid w:val="005F6680"/>
    <w:rsid w:val="005F670A"/>
    <w:rsid w:val="006035CB"/>
    <w:rsid w:val="006065FA"/>
    <w:rsid w:val="00607048"/>
    <w:rsid w:val="006073B7"/>
    <w:rsid w:val="0061203E"/>
    <w:rsid w:val="0061566E"/>
    <w:rsid w:val="00624886"/>
    <w:rsid w:val="00625C14"/>
    <w:rsid w:val="00626020"/>
    <w:rsid w:val="00627E19"/>
    <w:rsid w:val="00637A42"/>
    <w:rsid w:val="0064023C"/>
    <w:rsid w:val="00640AD1"/>
    <w:rsid w:val="00643656"/>
    <w:rsid w:val="0064523C"/>
    <w:rsid w:val="0064780C"/>
    <w:rsid w:val="0065078C"/>
    <w:rsid w:val="00657F1C"/>
    <w:rsid w:val="00660E97"/>
    <w:rsid w:val="0066109F"/>
    <w:rsid w:val="00672582"/>
    <w:rsid w:val="00674394"/>
    <w:rsid w:val="00674E82"/>
    <w:rsid w:val="00675455"/>
    <w:rsid w:val="00675C43"/>
    <w:rsid w:val="006766E8"/>
    <w:rsid w:val="0068063C"/>
    <w:rsid w:val="00681ABD"/>
    <w:rsid w:val="00681B13"/>
    <w:rsid w:val="00682D72"/>
    <w:rsid w:val="0068582E"/>
    <w:rsid w:val="0069006A"/>
    <w:rsid w:val="0069037C"/>
    <w:rsid w:val="006920E7"/>
    <w:rsid w:val="00693AD3"/>
    <w:rsid w:val="00693D40"/>
    <w:rsid w:val="00695CC8"/>
    <w:rsid w:val="00696773"/>
    <w:rsid w:val="00697F10"/>
    <w:rsid w:val="006A4391"/>
    <w:rsid w:val="006A611B"/>
    <w:rsid w:val="006B16D5"/>
    <w:rsid w:val="006B4E7A"/>
    <w:rsid w:val="006C0894"/>
    <w:rsid w:val="006C3E86"/>
    <w:rsid w:val="006C675D"/>
    <w:rsid w:val="006D01A0"/>
    <w:rsid w:val="006D0866"/>
    <w:rsid w:val="006D1E94"/>
    <w:rsid w:val="006D3F5E"/>
    <w:rsid w:val="006D48E3"/>
    <w:rsid w:val="006D4A41"/>
    <w:rsid w:val="006E5F03"/>
    <w:rsid w:val="006E7D28"/>
    <w:rsid w:val="006F5333"/>
    <w:rsid w:val="006F5DE6"/>
    <w:rsid w:val="006F6004"/>
    <w:rsid w:val="00711B45"/>
    <w:rsid w:val="00711B89"/>
    <w:rsid w:val="00716A22"/>
    <w:rsid w:val="007174E9"/>
    <w:rsid w:val="00720211"/>
    <w:rsid w:val="00722991"/>
    <w:rsid w:val="00723AEE"/>
    <w:rsid w:val="007253AD"/>
    <w:rsid w:val="00736F6C"/>
    <w:rsid w:val="0075040A"/>
    <w:rsid w:val="00752160"/>
    <w:rsid w:val="00756B1D"/>
    <w:rsid w:val="00756E18"/>
    <w:rsid w:val="00760102"/>
    <w:rsid w:val="007609F6"/>
    <w:rsid w:val="00761EB1"/>
    <w:rsid w:val="00761EC0"/>
    <w:rsid w:val="00770139"/>
    <w:rsid w:val="00770278"/>
    <w:rsid w:val="00771FE1"/>
    <w:rsid w:val="007724A8"/>
    <w:rsid w:val="00773521"/>
    <w:rsid w:val="00773C27"/>
    <w:rsid w:val="00774F35"/>
    <w:rsid w:val="0077639D"/>
    <w:rsid w:val="007770DD"/>
    <w:rsid w:val="007870D1"/>
    <w:rsid w:val="0079137F"/>
    <w:rsid w:val="00793829"/>
    <w:rsid w:val="00793E09"/>
    <w:rsid w:val="00796846"/>
    <w:rsid w:val="007A3606"/>
    <w:rsid w:val="007A411A"/>
    <w:rsid w:val="007A7D9F"/>
    <w:rsid w:val="007B13A4"/>
    <w:rsid w:val="007B55B3"/>
    <w:rsid w:val="007C2560"/>
    <w:rsid w:val="007C3DCD"/>
    <w:rsid w:val="007D1BE8"/>
    <w:rsid w:val="007D3D25"/>
    <w:rsid w:val="007D462C"/>
    <w:rsid w:val="007E0841"/>
    <w:rsid w:val="007E2569"/>
    <w:rsid w:val="007E2D82"/>
    <w:rsid w:val="007E4E45"/>
    <w:rsid w:val="007E587D"/>
    <w:rsid w:val="007E7BE3"/>
    <w:rsid w:val="007F1769"/>
    <w:rsid w:val="007F29A9"/>
    <w:rsid w:val="007F4142"/>
    <w:rsid w:val="007F4C44"/>
    <w:rsid w:val="0080213A"/>
    <w:rsid w:val="00815F41"/>
    <w:rsid w:val="00817834"/>
    <w:rsid w:val="00820245"/>
    <w:rsid w:val="00821CAE"/>
    <w:rsid w:val="0082594E"/>
    <w:rsid w:val="00825B93"/>
    <w:rsid w:val="00826F7C"/>
    <w:rsid w:val="00831483"/>
    <w:rsid w:val="008335FD"/>
    <w:rsid w:val="0083638B"/>
    <w:rsid w:val="00836780"/>
    <w:rsid w:val="00837F3F"/>
    <w:rsid w:val="00840576"/>
    <w:rsid w:val="00840EC1"/>
    <w:rsid w:val="00844F42"/>
    <w:rsid w:val="00847A3F"/>
    <w:rsid w:val="00847DBD"/>
    <w:rsid w:val="00851C08"/>
    <w:rsid w:val="00854FE0"/>
    <w:rsid w:val="0086033D"/>
    <w:rsid w:val="008632EE"/>
    <w:rsid w:val="00865352"/>
    <w:rsid w:val="00871834"/>
    <w:rsid w:val="00871B0D"/>
    <w:rsid w:val="00872DD0"/>
    <w:rsid w:val="0088274C"/>
    <w:rsid w:val="0088424E"/>
    <w:rsid w:val="0088549F"/>
    <w:rsid w:val="00886D4B"/>
    <w:rsid w:val="00887D88"/>
    <w:rsid w:val="008939D3"/>
    <w:rsid w:val="00893ECD"/>
    <w:rsid w:val="0089425B"/>
    <w:rsid w:val="008965F2"/>
    <w:rsid w:val="00896EE6"/>
    <w:rsid w:val="008A0BE1"/>
    <w:rsid w:val="008B2576"/>
    <w:rsid w:val="008B401F"/>
    <w:rsid w:val="008B5373"/>
    <w:rsid w:val="008C6854"/>
    <w:rsid w:val="008D0D36"/>
    <w:rsid w:val="008D29E2"/>
    <w:rsid w:val="008D2F8E"/>
    <w:rsid w:val="008D55F7"/>
    <w:rsid w:val="008E1DBD"/>
    <w:rsid w:val="008E1EF3"/>
    <w:rsid w:val="008E23DE"/>
    <w:rsid w:val="008E2EB4"/>
    <w:rsid w:val="008E3741"/>
    <w:rsid w:val="008E41DE"/>
    <w:rsid w:val="008E5DB8"/>
    <w:rsid w:val="008E6AEA"/>
    <w:rsid w:val="008E78BE"/>
    <w:rsid w:val="008F2E58"/>
    <w:rsid w:val="008F51A5"/>
    <w:rsid w:val="0090720C"/>
    <w:rsid w:val="00911F2E"/>
    <w:rsid w:val="00912DBD"/>
    <w:rsid w:val="00916C6B"/>
    <w:rsid w:val="00916D9F"/>
    <w:rsid w:val="00916F91"/>
    <w:rsid w:val="00920E9A"/>
    <w:rsid w:val="009221F5"/>
    <w:rsid w:val="00924141"/>
    <w:rsid w:val="0092543B"/>
    <w:rsid w:val="0092584A"/>
    <w:rsid w:val="00926A51"/>
    <w:rsid w:val="00930B8B"/>
    <w:rsid w:val="0093755E"/>
    <w:rsid w:val="0094131C"/>
    <w:rsid w:val="009413D5"/>
    <w:rsid w:val="00942778"/>
    <w:rsid w:val="009548C3"/>
    <w:rsid w:val="00956E6D"/>
    <w:rsid w:val="009615A4"/>
    <w:rsid w:val="009618DA"/>
    <w:rsid w:val="00961908"/>
    <w:rsid w:val="00962937"/>
    <w:rsid w:val="00964017"/>
    <w:rsid w:val="0096451A"/>
    <w:rsid w:val="0097245B"/>
    <w:rsid w:val="00975765"/>
    <w:rsid w:val="0098064D"/>
    <w:rsid w:val="00985729"/>
    <w:rsid w:val="00985A2D"/>
    <w:rsid w:val="00987742"/>
    <w:rsid w:val="00992916"/>
    <w:rsid w:val="00996E56"/>
    <w:rsid w:val="009A3715"/>
    <w:rsid w:val="009A63BB"/>
    <w:rsid w:val="009B09DC"/>
    <w:rsid w:val="009B1062"/>
    <w:rsid w:val="009B474E"/>
    <w:rsid w:val="009B500A"/>
    <w:rsid w:val="009C24AE"/>
    <w:rsid w:val="009C278A"/>
    <w:rsid w:val="009C32EC"/>
    <w:rsid w:val="009D0072"/>
    <w:rsid w:val="009D1DC3"/>
    <w:rsid w:val="009D2519"/>
    <w:rsid w:val="009D2AAF"/>
    <w:rsid w:val="009D6513"/>
    <w:rsid w:val="009E339C"/>
    <w:rsid w:val="009E3B46"/>
    <w:rsid w:val="009E51DC"/>
    <w:rsid w:val="009E731F"/>
    <w:rsid w:val="009E75B2"/>
    <w:rsid w:val="009E77CF"/>
    <w:rsid w:val="009F17DC"/>
    <w:rsid w:val="009F3857"/>
    <w:rsid w:val="00A02D03"/>
    <w:rsid w:val="00A03630"/>
    <w:rsid w:val="00A0397C"/>
    <w:rsid w:val="00A056F1"/>
    <w:rsid w:val="00A06017"/>
    <w:rsid w:val="00A06BDC"/>
    <w:rsid w:val="00A11B7F"/>
    <w:rsid w:val="00A15A13"/>
    <w:rsid w:val="00A215D8"/>
    <w:rsid w:val="00A23F2E"/>
    <w:rsid w:val="00A25DBC"/>
    <w:rsid w:val="00A25DF1"/>
    <w:rsid w:val="00A26708"/>
    <w:rsid w:val="00A27867"/>
    <w:rsid w:val="00A303CC"/>
    <w:rsid w:val="00A32F6A"/>
    <w:rsid w:val="00A40E52"/>
    <w:rsid w:val="00A42E31"/>
    <w:rsid w:val="00A43777"/>
    <w:rsid w:val="00A52345"/>
    <w:rsid w:val="00A53B8A"/>
    <w:rsid w:val="00A60D4B"/>
    <w:rsid w:val="00A613B3"/>
    <w:rsid w:val="00A629FA"/>
    <w:rsid w:val="00A66B66"/>
    <w:rsid w:val="00A672CB"/>
    <w:rsid w:val="00A67A01"/>
    <w:rsid w:val="00A67BEF"/>
    <w:rsid w:val="00A703F3"/>
    <w:rsid w:val="00A71F8E"/>
    <w:rsid w:val="00A72D4F"/>
    <w:rsid w:val="00A84B39"/>
    <w:rsid w:val="00A860AA"/>
    <w:rsid w:val="00A93147"/>
    <w:rsid w:val="00A95508"/>
    <w:rsid w:val="00AA122F"/>
    <w:rsid w:val="00AA35D8"/>
    <w:rsid w:val="00AA39EA"/>
    <w:rsid w:val="00AA481C"/>
    <w:rsid w:val="00AA4B5B"/>
    <w:rsid w:val="00AA65C4"/>
    <w:rsid w:val="00AA73EE"/>
    <w:rsid w:val="00AB1526"/>
    <w:rsid w:val="00AB20D9"/>
    <w:rsid w:val="00AB5254"/>
    <w:rsid w:val="00AB722C"/>
    <w:rsid w:val="00AC212A"/>
    <w:rsid w:val="00AC2196"/>
    <w:rsid w:val="00AC353C"/>
    <w:rsid w:val="00AC46CE"/>
    <w:rsid w:val="00AC76BC"/>
    <w:rsid w:val="00AD0859"/>
    <w:rsid w:val="00AD1533"/>
    <w:rsid w:val="00AD2049"/>
    <w:rsid w:val="00AD2538"/>
    <w:rsid w:val="00AD536F"/>
    <w:rsid w:val="00AD728B"/>
    <w:rsid w:val="00AD7818"/>
    <w:rsid w:val="00AF19AC"/>
    <w:rsid w:val="00AF36BB"/>
    <w:rsid w:val="00AF5926"/>
    <w:rsid w:val="00B01344"/>
    <w:rsid w:val="00B0265B"/>
    <w:rsid w:val="00B07F4B"/>
    <w:rsid w:val="00B10A2B"/>
    <w:rsid w:val="00B11078"/>
    <w:rsid w:val="00B114C2"/>
    <w:rsid w:val="00B13855"/>
    <w:rsid w:val="00B14062"/>
    <w:rsid w:val="00B2034B"/>
    <w:rsid w:val="00B210FA"/>
    <w:rsid w:val="00B21D30"/>
    <w:rsid w:val="00B26639"/>
    <w:rsid w:val="00B26CAF"/>
    <w:rsid w:val="00B30C82"/>
    <w:rsid w:val="00B321DB"/>
    <w:rsid w:val="00B40B11"/>
    <w:rsid w:val="00B40DD8"/>
    <w:rsid w:val="00B41C19"/>
    <w:rsid w:val="00B41F93"/>
    <w:rsid w:val="00B4252E"/>
    <w:rsid w:val="00B45733"/>
    <w:rsid w:val="00B45906"/>
    <w:rsid w:val="00B50F73"/>
    <w:rsid w:val="00B51232"/>
    <w:rsid w:val="00B51630"/>
    <w:rsid w:val="00B51A73"/>
    <w:rsid w:val="00B52CBF"/>
    <w:rsid w:val="00B5470F"/>
    <w:rsid w:val="00B57270"/>
    <w:rsid w:val="00B6021A"/>
    <w:rsid w:val="00B64058"/>
    <w:rsid w:val="00B654D6"/>
    <w:rsid w:val="00B6602E"/>
    <w:rsid w:val="00B7136F"/>
    <w:rsid w:val="00B72A92"/>
    <w:rsid w:val="00B73D4A"/>
    <w:rsid w:val="00B7727E"/>
    <w:rsid w:val="00B82086"/>
    <w:rsid w:val="00B835D2"/>
    <w:rsid w:val="00B85EB6"/>
    <w:rsid w:val="00B97435"/>
    <w:rsid w:val="00BA2F27"/>
    <w:rsid w:val="00BA4B61"/>
    <w:rsid w:val="00BA5679"/>
    <w:rsid w:val="00BA5FB9"/>
    <w:rsid w:val="00BA71AC"/>
    <w:rsid w:val="00BB2502"/>
    <w:rsid w:val="00BB3AC6"/>
    <w:rsid w:val="00BB4A92"/>
    <w:rsid w:val="00BB4B7C"/>
    <w:rsid w:val="00BC1D34"/>
    <w:rsid w:val="00BC3E43"/>
    <w:rsid w:val="00BC4D52"/>
    <w:rsid w:val="00BC6A26"/>
    <w:rsid w:val="00BC75B3"/>
    <w:rsid w:val="00BC7BCE"/>
    <w:rsid w:val="00BD13D0"/>
    <w:rsid w:val="00BD1FD4"/>
    <w:rsid w:val="00BD67A8"/>
    <w:rsid w:val="00BE2C00"/>
    <w:rsid w:val="00BE2F1F"/>
    <w:rsid w:val="00BE6888"/>
    <w:rsid w:val="00BF09EF"/>
    <w:rsid w:val="00BF1758"/>
    <w:rsid w:val="00BF1EB9"/>
    <w:rsid w:val="00BF7BFC"/>
    <w:rsid w:val="00C02FCD"/>
    <w:rsid w:val="00C06954"/>
    <w:rsid w:val="00C07082"/>
    <w:rsid w:val="00C10AD2"/>
    <w:rsid w:val="00C10C70"/>
    <w:rsid w:val="00C11D66"/>
    <w:rsid w:val="00C150ED"/>
    <w:rsid w:val="00C15F8D"/>
    <w:rsid w:val="00C17ECE"/>
    <w:rsid w:val="00C20AF7"/>
    <w:rsid w:val="00C2346E"/>
    <w:rsid w:val="00C31068"/>
    <w:rsid w:val="00C32C77"/>
    <w:rsid w:val="00C337CA"/>
    <w:rsid w:val="00C34B50"/>
    <w:rsid w:val="00C365C9"/>
    <w:rsid w:val="00C43C12"/>
    <w:rsid w:val="00C44B03"/>
    <w:rsid w:val="00C52BCB"/>
    <w:rsid w:val="00C562F3"/>
    <w:rsid w:val="00C5694B"/>
    <w:rsid w:val="00C57F7C"/>
    <w:rsid w:val="00C63342"/>
    <w:rsid w:val="00C64573"/>
    <w:rsid w:val="00C70F11"/>
    <w:rsid w:val="00C71D26"/>
    <w:rsid w:val="00C72DDE"/>
    <w:rsid w:val="00C73292"/>
    <w:rsid w:val="00C76295"/>
    <w:rsid w:val="00C81104"/>
    <w:rsid w:val="00C9346B"/>
    <w:rsid w:val="00C94AE3"/>
    <w:rsid w:val="00C94B68"/>
    <w:rsid w:val="00C94DCF"/>
    <w:rsid w:val="00C96784"/>
    <w:rsid w:val="00CA0533"/>
    <w:rsid w:val="00CA33B0"/>
    <w:rsid w:val="00CA377C"/>
    <w:rsid w:val="00CA7D91"/>
    <w:rsid w:val="00CB1314"/>
    <w:rsid w:val="00CB21E0"/>
    <w:rsid w:val="00CB33BD"/>
    <w:rsid w:val="00CC1D41"/>
    <w:rsid w:val="00CC6435"/>
    <w:rsid w:val="00CD00FE"/>
    <w:rsid w:val="00CD05AC"/>
    <w:rsid w:val="00CD342B"/>
    <w:rsid w:val="00CD4799"/>
    <w:rsid w:val="00CD4CE3"/>
    <w:rsid w:val="00CD6358"/>
    <w:rsid w:val="00CD7603"/>
    <w:rsid w:val="00CE40AC"/>
    <w:rsid w:val="00CE5D68"/>
    <w:rsid w:val="00CE75A9"/>
    <w:rsid w:val="00CF04CC"/>
    <w:rsid w:val="00CF0BF3"/>
    <w:rsid w:val="00CF4078"/>
    <w:rsid w:val="00CF4234"/>
    <w:rsid w:val="00CF5EAA"/>
    <w:rsid w:val="00CF7F5D"/>
    <w:rsid w:val="00D05580"/>
    <w:rsid w:val="00D05F05"/>
    <w:rsid w:val="00D11D96"/>
    <w:rsid w:val="00D165AF"/>
    <w:rsid w:val="00D16CBC"/>
    <w:rsid w:val="00D17B6C"/>
    <w:rsid w:val="00D211CB"/>
    <w:rsid w:val="00D2188E"/>
    <w:rsid w:val="00D268B1"/>
    <w:rsid w:val="00D27A11"/>
    <w:rsid w:val="00D303F3"/>
    <w:rsid w:val="00D3615D"/>
    <w:rsid w:val="00D36A31"/>
    <w:rsid w:val="00D41CD4"/>
    <w:rsid w:val="00D46739"/>
    <w:rsid w:val="00D50B05"/>
    <w:rsid w:val="00D56D56"/>
    <w:rsid w:val="00D576D5"/>
    <w:rsid w:val="00D60846"/>
    <w:rsid w:val="00D61511"/>
    <w:rsid w:val="00D63F40"/>
    <w:rsid w:val="00D70D9C"/>
    <w:rsid w:val="00D71B02"/>
    <w:rsid w:val="00D71CD4"/>
    <w:rsid w:val="00D74D7D"/>
    <w:rsid w:val="00D7566F"/>
    <w:rsid w:val="00D77899"/>
    <w:rsid w:val="00D8017F"/>
    <w:rsid w:val="00D809E7"/>
    <w:rsid w:val="00D81F2B"/>
    <w:rsid w:val="00D8475E"/>
    <w:rsid w:val="00D86172"/>
    <w:rsid w:val="00D869EE"/>
    <w:rsid w:val="00D8743A"/>
    <w:rsid w:val="00D91F87"/>
    <w:rsid w:val="00D9292A"/>
    <w:rsid w:val="00D93473"/>
    <w:rsid w:val="00D93741"/>
    <w:rsid w:val="00D967AA"/>
    <w:rsid w:val="00D97432"/>
    <w:rsid w:val="00DA7F59"/>
    <w:rsid w:val="00DB0051"/>
    <w:rsid w:val="00DB1833"/>
    <w:rsid w:val="00DB233C"/>
    <w:rsid w:val="00DB6E1D"/>
    <w:rsid w:val="00DB760A"/>
    <w:rsid w:val="00DC007B"/>
    <w:rsid w:val="00DC03C7"/>
    <w:rsid w:val="00DC76E7"/>
    <w:rsid w:val="00DD26EB"/>
    <w:rsid w:val="00DD3BDB"/>
    <w:rsid w:val="00DD66E1"/>
    <w:rsid w:val="00DE11C6"/>
    <w:rsid w:val="00DE3C6A"/>
    <w:rsid w:val="00DE717F"/>
    <w:rsid w:val="00DE7C44"/>
    <w:rsid w:val="00DF0EA6"/>
    <w:rsid w:val="00DF41DB"/>
    <w:rsid w:val="00E0062C"/>
    <w:rsid w:val="00E06CF0"/>
    <w:rsid w:val="00E07849"/>
    <w:rsid w:val="00E11C05"/>
    <w:rsid w:val="00E13BD8"/>
    <w:rsid w:val="00E2280F"/>
    <w:rsid w:val="00E23060"/>
    <w:rsid w:val="00E26151"/>
    <w:rsid w:val="00E26433"/>
    <w:rsid w:val="00E317C1"/>
    <w:rsid w:val="00E31BA8"/>
    <w:rsid w:val="00E3398C"/>
    <w:rsid w:val="00E406A0"/>
    <w:rsid w:val="00E408ED"/>
    <w:rsid w:val="00E40B97"/>
    <w:rsid w:val="00E414E8"/>
    <w:rsid w:val="00E440F4"/>
    <w:rsid w:val="00E45075"/>
    <w:rsid w:val="00E52378"/>
    <w:rsid w:val="00E53246"/>
    <w:rsid w:val="00E55F34"/>
    <w:rsid w:val="00E6074C"/>
    <w:rsid w:val="00E62170"/>
    <w:rsid w:val="00E63286"/>
    <w:rsid w:val="00E648CB"/>
    <w:rsid w:val="00E64B35"/>
    <w:rsid w:val="00E64CE5"/>
    <w:rsid w:val="00E65FD5"/>
    <w:rsid w:val="00E67C5D"/>
    <w:rsid w:val="00E70615"/>
    <w:rsid w:val="00E72006"/>
    <w:rsid w:val="00E74791"/>
    <w:rsid w:val="00E77194"/>
    <w:rsid w:val="00E800FE"/>
    <w:rsid w:val="00E83FE1"/>
    <w:rsid w:val="00E872B6"/>
    <w:rsid w:val="00E9208B"/>
    <w:rsid w:val="00E96598"/>
    <w:rsid w:val="00EA3063"/>
    <w:rsid w:val="00EA30DB"/>
    <w:rsid w:val="00EA3AD3"/>
    <w:rsid w:val="00EA3F4F"/>
    <w:rsid w:val="00EA58FC"/>
    <w:rsid w:val="00EB0B98"/>
    <w:rsid w:val="00EB4ACF"/>
    <w:rsid w:val="00EB77DA"/>
    <w:rsid w:val="00EC07E6"/>
    <w:rsid w:val="00EC11A5"/>
    <w:rsid w:val="00EC281C"/>
    <w:rsid w:val="00EC45DD"/>
    <w:rsid w:val="00EC5229"/>
    <w:rsid w:val="00ED2DCE"/>
    <w:rsid w:val="00EE060C"/>
    <w:rsid w:val="00EE079F"/>
    <w:rsid w:val="00EE34DB"/>
    <w:rsid w:val="00EE4D4D"/>
    <w:rsid w:val="00EE4FAD"/>
    <w:rsid w:val="00EE74C2"/>
    <w:rsid w:val="00EE7613"/>
    <w:rsid w:val="00EF4876"/>
    <w:rsid w:val="00EF517F"/>
    <w:rsid w:val="00EF63E1"/>
    <w:rsid w:val="00EF74CE"/>
    <w:rsid w:val="00EF7D81"/>
    <w:rsid w:val="00F034C5"/>
    <w:rsid w:val="00F11213"/>
    <w:rsid w:val="00F1387A"/>
    <w:rsid w:val="00F145EB"/>
    <w:rsid w:val="00F22A75"/>
    <w:rsid w:val="00F22B3D"/>
    <w:rsid w:val="00F24923"/>
    <w:rsid w:val="00F249BB"/>
    <w:rsid w:val="00F309CC"/>
    <w:rsid w:val="00F350B1"/>
    <w:rsid w:val="00F36A46"/>
    <w:rsid w:val="00F4146A"/>
    <w:rsid w:val="00F41841"/>
    <w:rsid w:val="00F41E00"/>
    <w:rsid w:val="00F42F1C"/>
    <w:rsid w:val="00F435D8"/>
    <w:rsid w:val="00F45276"/>
    <w:rsid w:val="00F500CC"/>
    <w:rsid w:val="00F5235F"/>
    <w:rsid w:val="00F54EAA"/>
    <w:rsid w:val="00F55280"/>
    <w:rsid w:val="00F56AE4"/>
    <w:rsid w:val="00F577B3"/>
    <w:rsid w:val="00F60A3E"/>
    <w:rsid w:val="00F610FC"/>
    <w:rsid w:val="00F61E52"/>
    <w:rsid w:val="00F66385"/>
    <w:rsid w:val="00F701E1"/>
    <w:rsid w:val="00F7139A"/>
    <w:rsid w:val="00F727F1"/>
    <w:rsid w:val="00F7327F"/>
    <w:rsid w:val="00F7684F"/>
    <w:rsid w:val="00F838D1"/>
    <w:rsid w:val="00F83971"/>
    <w:rsid w:val="00F85242"/>
    <w:rsid w:val="00F90A84"/>
    <w:rsid w:val="00F91AE9"/>
    <w:rsid w:val="00F9323E"/>
    <w:rsid w:val="00F94879"/>
    <w:rsid w:val="00F97E8F"/>
    <w:rsid w:val="00FA0E68"/>
    <w:rsid w:val="00FA1BC9"/>
    <w:rsid w:val="00FA22A8"/>
    <w:rsid w:val="00FA367B"/>
    <w:rsid w:val="00FA5FC0"/>
    <w:rsid w:val="00FA6402"/>
    <w:rsid w:val="00FA69B6"/>
    <w:rsid w:val="00FB0F26"/>
    <w:rsid w:val="00FB33C2"/>
    <w:rsid w:val="00FB5AF0"/>
    <w:rsid w:val="00FB5BB5"/>
    <w:rsid w:val="00FB7D5C"/>
    <w:rsid w:val="00FD1D26"/>
    <w:rsid w:val="00FD28EB"/>
    <w:rsid w:val="00FD774F"/>
    <w:rsid w:val="00FE0BA7"/>
    <w:rsid w:val="00FE16A5"/>
    <w:rsid w:val="00FE739C"/>
    <w:rsid w:val="00FF009D"/>
    <w:rsid w:val="00FF2064"/>
    <w:rsid w:val="00FF3E1D"/>
    <w:rsid w:val="00FF6556"/>
    <w:rsid w:val="00FF70EB"/>
    <w:rsid w:val="00FF7563"/>
    <w:rsid w:val="055867E9"/>
    <w:rsid w:val="09A62DC4"/>
    <w:rsid w:val="09E8187F"/>
    <w:rsid w:val="0A6B5B65"/>
    <w:rsid w:val="0DA00DF2"/>
    <w:rsid w:val="0E504958"/>
    <w:rsid w:val="11FF3D05"/>
    <w:rsid w:val="150F668E"/>
    <w:rsid w:val="1A36178C"/>
    <w:rsid w:val="1A4D7BED"/>
    <w:rsid w:val="1DBD0960"/>
    <w:rsid w:val="1E711782"/>
    <w:rsid w:val="243364D0"/>
    <w:rsid w:val="253233DB"/>
    <w:rsid w:val="29B43ADC"/>
    <w:rsid w:val="2C170967"/>
    <w:rsid w:val="2F727525"/>
    <w:rsid w:val="311B379B"/>
    <w:rsid w:val="34241607"/>
    <w:rsid w:val="368E6097"/>
    <w:rsid w:val="37C9575A"/>
    <w:rsid w:val="38800943"/>
    <w:rsid w:val="38F85444"/>
    <w:rsid w:val="39680825"/>
    <w:rsid w:val="3A7E1E4C"/>
    <w:rsid w:val="409E4FEC"/>
    <w:rsid w:val="487E5198"/>
    <w:rsid w:val="53C409CC"/>
    <w:rsid w:val="58B735D8"/>
    <w:rsid w:val="5AB35844"/>
    <w:rsid w:val="5DAD2C05"/>
    <w:rsid w:val="5DF06C49"/>
    <w:rsid w:val="62850286"/>
    <w:rsid w:val="62EC36FF"/>
    <w:rsid w:val="63737C8E"/>
    <w:rsid w:val="63C77F3E"/>
    <w:rsid w:val="696166BC"/>
    <w:rsid w:val="6BB27E42"/>
    <w:rsid w:val="6D9366BD"/>
    <w:rsid w:val="6F4F7792"/>
    <w:rsid w:val="75812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华文仿宋"/>
      <w:sz w:val="30"/>
    </w:rPr>
  </w:style>
  <w:style w:type="paragraph" w:styleId="7">
    <w:name w:val="annotation text"/>
    <w:basedOn w:val="1"/>
    <w:link w:val="29"/>
    <w:semiHidden/>
    <w:unhideWhenUsed/>
    <w:qFormat/>
    <w:uiPriority w:val="99"/>
    <w:pPr>
      <w:jc w:val="left"/>
    </w:pPr>
  </w:style>
  <w:style w:type="paragraph" w:styleId="8">
    <w:name w:val="Date"/>
    <w:basedOn w:val="1"/>
    <w:next w:val="1"/>
    <w:link w:val="24"/>
    <w:semiHidden/>
    <w:unhideWhenUsed/>
    <w:qFormat/>
    <w:uiPriority w:val="99"/>
    <w:pPr>
      <w:ind w:left="100" w:leftChars="2500"/>
    </w:pPr>
  </w:style>
  <w:style w:type="paragraph" w:styleId="9">
    <w:name w:val="Balloon Text"/>
    <w:basedOn w:val="1"/>
    <w:link w:val="21"/>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7"/>
    <w:next w:val="7"/>
    <w:link w:val="22"/>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脚 Char"/>
    <w:basedOn w:val="16"/>
    <w:link w:val="10"/>
    <w:qFormat/>
    <w:uiPriority w:val="99"/>
    <w:rPr>
      <w:sz w:val="18"/>
      <w:szCs w:val="18"/>
    </w:rPr>
  </w:style>
  <w:style w:type="character" w:customStyle="1" w:styleId="19">
    <w:name w:val="页眉 Char"/>
    <w:basedOn w:val="16"/>
    <w:link w:val="11"/>
    <w:qFormat/>
    <w:uiPriority w:val="99"/>
    <w:rPr>
      <w:sz w:val="18"/>
      <w:szCs w:val="18"/>
    </w:rPr>
  </w:style>
  <w:style w:type="character" w:customStyle="1" w:styleId="20">
    <w:name w:val="批注文字 Char"/>
    <w:basedOn w:val="16"/>
    <w:semiHidden/>
    <w:qFormat/>
    <w:uiPriority w:val="99"/>
    <w:rPr>
      <w:rFonts w:ascii="Times New Roman" w:hAnsi="Times New Roman" w:eastAsia="宋体" w:cs="Times New Roman"/>
      <w:szCs w:val="24"/>
    </w:rPr>
  </w:style>
  <w:style w:type="character" w:customStyle="1" w:styleId="21">
    <w:name w:val="批注框文本 Char"/>
    <w:basedOn w:val="16"/>
    <w:link w:val="9"/>
    <w:semiHidden/>
    <w:qFormat/>
    <w:uiPriority w:val="99"/>
    <w:rPr>
      <w:rFonts w:ascii="Times New Roman" w:hAnsi="Times New Roman" w:eastAsia="宋体" w:cs="Times New Roman"/>
      <w:sz w:val="18"/>
      <w:szCs w:val="18"/>
    </w:rPr>
  </w:style>
  <w:style w:type="character" w:customStyle="1" w:styleId="22">
    <w:name w:val="批注主题 Char"/>
    <w:basedOn w:val="20"/>
    <w:link w:val="13"/>
    <w:semiHidden/>
    <w:qFormat/>
    <w:uiPriority w:val="99"/>
    <w:rPr>
      <w:rFonts w:ascii="Times New Roman" w:hAnsi="Times New Roman" w:eastAsia="宋体" w:cs="Times New Roman"/>
      <w:b/>
      <w:bCs/>
      <w:szCs w:val="24"/>
    </w:rPr>
  </w:style>
  <w:style w:type="paragraph" w:styleId="23">
    <w:name w:val="List Paragraph"/>
    <w:basedOn w:val="1"/>
    <w:qFormat/>
    <w:uiPriority w:val="34"/>
    <w:pPr>
      <w:ind w:firstLine="420" w:firstLineChars="200"/>
    </w:pPr>
  </w:style>
  <w:style w:type="character" w:customStyle="1" w:styleId="24">
    <w:name w:val="日期 Char"/>
    <w:basedOn w:val="16"/>
    <w:link w:val="8"/>
    <w:semiHidden/>
    <w:qFormat/>
    <w:uiPriority w:val="99"/>
    <w:rPr>
      <w:rFonts w:ascii="Times New Roman" w:hAnsi="Times New Roman" w:eastAsia="宋体" w:cs="Times New Roman"/>
      <w:szCs w:val="24"/>
    </w:rPr>
  </w:style>
  <w:style w:type="character" w:customStyle="1" w:styleId="25">
    <w:name w:val="标题 1 Char"/>
    <w:basedOn w:val="16"/>
    <w:link w:val="3"/>
    <w:qFormat/>
    <w:uiPriority w:val="9"/>
    <w:rPr>
      <w:rFonts w:ascii="Times New Roman" w:hAnsi="Times New Roman" w:eastAsia="宋体" w:cs="Times New Roman"/>
      <w:b/>
      <w:bCs/>
      <w:kern w:val="44"/>
      <w:sz w:val="44"/>
      <w:szCs w:val="44"/>
    </w:rPr>
  </w:style>
  <w:style w:type="character" w:customStyle="1" w:styleId="26">
    <w:name w:val="标题 2 Char"/>
    <w:basedOn w:val="16"/>
    <w:link w:val="4"/>
    <w:qFormat/>
    <w:uiPriority w:val="9"/>
    <w:rPr>
      <w:rFonts w:asciiTheme="majorHAnsi" w:hAnsiTheme="majorHAnsi" w:eastAsiaTheme="majorEastAsia" w:cstheme="majorBidi"/>
      <w:b/>
      <w:bCs/>
      <w:sz w:val="32"/>
      <w:szCs w:val="32"/>
    </w:rPr>
  </w:style>
  <w:style w:type="character" w:customStyle="1" w:styleId="27">
    <w:name w:val="标题 3 Char"/>
    <w:basedOn w:val="16"/>
    <w:link w:val="5"/>
    <w:qFormat/>
    <w:uiPriority w:val="9"/>
    <w:rPr>
      <w:rFonts w:ascii="Times New Roman" w:hAnsi="Times New Roman" w:eastAsia="宋体" w:cs="Times New Roman"/>
      <w:b/>
      <w:bCs/>
      <w:sz w:val="32"/>
      <w:szCs w:val="32"/>
    </w:rPr>
  </w:style>
  <w:style w:type="character" w:customStyle="1" w:styleId="28">
    <w:name w:val="标题 4 Char"/>
    <w:basedOn w:val="16"/>
    <w:link w:val="6"/>
    <w:qFormat/>
    <w:uiPriority w:val="9"/>
    <w:rPr>
      <w:rFonts w:asciiTheme="majorHAnsi" w:hAnsiTheme="majorHAnsi" w:eastAsiaTheme="majorEastAsia" w:cstheme="majorBidi"/>
      <w:b/>
      <w:bCs/>
      <w:sz w:val="28"/>
      <w:szCs w:val="28"/>
    </w:rPr>
  </w:style>
  <w:style w:type="character" w:customStyle="1" w:styleId="29">
    <w:name w:val="批注文字 Char1"/>
    <w:basedOn w:val="16"/>
    <w:link w:val="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E83BE-F325-47AD-8FB0-811D2914196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583</Words>
  <Characters>3327</Characters>
  <Lines>27</Lines>
  <Paragraphs>7</Paragraphs>
  <TotalTime>7</TotalTime>
  <ScaleCrop>false</ScaleCrop>
  <LinksUpToDate>false</LinksUpToDate>
  <CharactersWithSpaces>3903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2020-04-09T07:03:00Z</dcterms:created>
  <dc:creator>王亚娜</dc:creator>
  <cp:lastModifiedBy>panphia</cp:lastModifiedBy>
  <dcterms:modified xsi:type="dcterms:W3CDTF">2021-06-01T01:11:02Z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801B798BC320458BB13409D45EC5FFB5</vt:lpwstr>
  </property>
</Properties>
</file>